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61BC314" w14:textId="370FCFA6" w:rsidR="00B257D7" w:rsidRPr="00B257D7" w:rsidRDefault="00B257D7" w:rsidP="00B257D7">
      <w:pPr>
        <w:pStyle w:val="CETAuthors"/>
        <w:jc w:val="center"/>
        <w:rPr>
          <w:b/>
          <w:sz w:val="32"/>
          <w:szCs w:val="32"/>
        </w:rPr>
      </w:pPr>
      <w:r w:rsidRPr="00B257D7">
        <w:rPr>
          <w:b/>
          <w:sz w:val="32"/>
          <w:szCs w:val="32"/>
        </w:rPr>
        <w:t>Health and Safety Management System in Methalmechanic Sector</w:t>
      </w:r>
    </w:p>
    <w:p w14:paraId="0488FED2" w14:textId="57618219" w:rsidR="00B57E6F" w:rsidRPr="001B72B9" w:rsidRDefault="00EC2CC9" w:rsidP="00B57E6F">
      <w:pPr>
        <w:pStyle w:val="CETAuthors"/>
        <w:rPr>
          <w:lang w:val="es-CO"/>
        </w:rPr>
      </w:pPr>
      <w:r w:rsidRPr="001B72B9">
        <w:rPr>
          <w:rFonts w:cstheme="minorHAnsi"/>
          <w:lang w:val="es-CO"/>
        </w:rPr>
        <w:t>Jeniffer Gracia</w:t>
      </w:r>
      <w:r w:rsidR="00B57E6F" w:rsidRPr="001B72B9">
        <w:rPr>
          <w:vertAlign w:val="superscript"/>
          <w:lang w:val="es-CO"/>
        </w:rPr>
        <w:t>a</w:t>
      </w:r>
      <w:r w:rsidRPr="001B72B9">
        <w:rPr>
          <w:vertAlign w:val="superscript"/>
          <w:lang w:val="es-CO"/>
        </w:rPr>
        <w:t>*</w:t>
      </w:r>
      <w:r w:rsidR="00B57E6F" w:rsidRPr="001B72B9">
        <w:rPr>
          <w:lang w:val="es-CO"/>
        </w:rPr>
        <w:t xml:space="preserve">, </w:t>
      </w:r>
      <w:r w:rsidRPr="001B72B9">
        <w:rPr>
          <w:rFonts w:cstheme="minorHAnsi"/>
          <w:lang w:val="es-CO"/>
        </w:rPr>
        <w:t>Paola Acevedo</w:t>
      </w:r>
      <w:r w:rsidR="00B57E6F" w:rsidRPr="001B72B9">
        <w:rPr>
          <w:vertAlign w:val="superscript"/>
          <w:lang w:val="es-CO"/>
        </w:rPr>
        <w:t>b</w:t>
      </w:r>
      <w:r w:rsidR="00B57E6F" w:rsidRPr="001B72B9">
        <w:rPr>
          <w:lang w:val="es-CO"/>
        </w:rPr>
        <w:t>,</w:t>
      </w:r>
      <w:r w:rsidRPr="001B72B9">
        <w:rPr>
          <w:rFonts w:cstheme="minorHAnsi"/>
          <w:lang w:val="es-CO"/>
        </w:rPr>
        <w:t xml:space="preserve"> </w:t>
      </w:r>
      <w:r w:rsidR="00F02A12">
        <w:rPr>
          <w:rFonts w:cstheme="minorHAnsi"/>
          <w:lang w:val="es-CO"/>
        </w:rPr>
        <w:t>Ivan Cabeza</w:t>
      </w:r>
      <w:r w:rsidR="00F02A12" w:rsidRPr="00F02A12">
        <w:rPr>
          <w:rFonts w:cstheme="minorHAnsi"/>
          <w:vertAlign w:val="superscript"/>
          <w:lang w:val="es-CO"/>
        </w:rPr>
        <w:t>c</w:t>
      </w:r>
      <w:r w:rsidR="00F02A12">
        <w:rPr>
          <w:rFonts w:cstheme="minorHAnsi"/>
          <w:vertAlign w:val="superscript"/>
          <w:lang w:val="es-CO"/>
        </w:rPr>
        <w:t>*</w:t>
      </w:r>
      <w:r w:rsidR="00B57E6F" w:rsidRPr="00F02A12">
        <w:rPr>
          <w:vertAlign w:val="superscript"/>
          <w:lang w:val="es-CO"/>
        </w:rPr>
        <w:t xml:space="preserve"> </w:t>
      </w:r>
    </w:p>
    <w:p w14:paraId="6B2D21B3" w14:textId="53CC3D55" w:rsidR="00B57E6F" w:rsidRPr="00EC2CC9" w:rsidRDefault="00B57E6F" w:rsidP="0034293B">
      <w:pPr>
        <w:pStyle w:val="CETAddress"/>
        <w:jc w:val="both"/>
        <w:rPr>
          <w:lang w:val="es-CO"/>
        </w:rPr>
      </w:pPr>
      <w:r w:rsidRPr="00EC2CC9">
        <w:rPr>
          <w:vertAlign w:val="superscript"/>
          <w:lang w:val="es-CO"/>
        </w:rPr>
        <w:t>a</w:t>
      </w:r>
      <w:r w:rsidR="00EC2CC9" w:rsidRPr="00EC2CC9">
        <w:rPr>
          <w:lang w:val="es-ES"/>
        </w:rPr>
        <w:t>Universidad Distrital “Francisco José de Caldas”, Bogotá, Carrera 7 No. 40B-53, Colombia</w:t>
      </w:r>
    </w:p>
    <w:p w14:paraId="0464B4B7" w14:textId="23BD97CE" w:rsidR="00EC2CC9" w:rsidRPr="00506855" w:rsidRDefault="00B57E6F" w:rsidP="0034293B">
      <w:pPr>
        <w:pStyle w:val="CETAddress"/>
        <w:jc w:val="both"/>
        <w:rPr>
          <w:rFonts w:asciiTheme="minorHAnsi" w:eastAsiaTheme="minorHAnsi" w:hAnsiTheme="minorHAnsi" w:cstheme="minorHAnsi"/>
          <w:noProof w:val="0"/>
          <w:color w:val="000000"/>
          <w:sz w:val="20"/>
          <w:lang w:val="es-CO"/>
        </w:rPr>
      </w:pPr>
      <w:r w:rsidRPr="00506855">
        <w:rPr>
          <w:vertAlign w:val="superscript"/>
          <w:lang w:val="es-CO"/>
        </w:rPr>
        <w:t>b</w:t>
      </w:r>
      <w:r w:rsidR="00EC2CC9" w:rsidRPr="00506855">
        <w:rPr>
          <w:lang w:val="es-CO"/>
        </w:rPr>
        <w:t>Department of Industrial Engineering, Universidad Cooperativa de Colombia, Bogotá, Avenida Caracas 37-63, Colombia</w:t>
      </w:r>
      <w:r w:rsidR="00182221" w:rsidRPr="00506855">
        <w:rPr>
          <w:rFonts w:asciiTheme="minorHAnsi" w:eastAsiaTheme="minorHAnsi" w:hAnsiTheme="minorHAnsi" w:cstheme="minorHAnsi"/>
          <w:noProof w:val="0"/>
          <w:color w:val="000000"/>
          <w:sz w:val="20"/>
          <w:lang w:val="es-CO"/>
        </w:rPr>
        <w:t xml:space="preserve"> </w:t>
      </w:r>
    </w:p>
    <w:p w14:paraId="3B758298" w14:textId="3FE1E02A" w:rsidR="00F02A12" w:rsidRPr="00F02A12" w:rsidRDefault="00F02A12" w:rsidP="0034293B">
      <w:pPr>
        <w:pStyle w:val="CETAddress"/>
        <w:jc w:val="both"/>
        <w:rPr>
          <w:lang w:val="es-CO"/>
        </w:rPr>
      </w:pPr>
      <w:r w:rsidRPr="00506855">
        <w:rPr>
          <w:vertAlign w:val="superscript"/>
          <w:lang w:val="es-CO"/>
        </w:rPr>
        <w:t>c</w:t>
      </w:r>
      <w:r w:rsidRPr="00506855">
        <w:rPr>
          <w:lang w:val="es-CO"/>
        </w:rPr>
        <w:t xml:space="preserve">Department of Chemical Engineering, Km. 7, Autopista Norte de Bogotá. </w:t>
      </w:r>
      <w:r w:rsidRPr="00F02A12">
        <w:rPr>
          <w:lang w:val="es-CO"/>
        </w:rPr>
        <w:t>Chía, Cundinamarca, Colombia</w:t>
      </w:r>
    </w:p>
    <w:p w14:paraId="73F1267A" w14:textId="6AC0D961" w:rsidR="00B57E6F" w:rsidRPr="00506855" w:rsidRDefault="00B57E6F" w:rsidP="00182221">
      <w:pPr>
        <w:pStyle w:val="CETAddress"/>
        <w:rPr>
          <w:lang w:val="es-CO"/>
        </w:rPr>
      </w:pPr>
      <w:r w:rsidRPr="00F02A12">
        <w:rPr>
          <w:lang w:val="es-CO"/>
        </w:rPr>
        <w:t xml:space="preserve"> </w:t>
      </w:r>
      <w:hyperlink r:id="rId10" w:history="1">
        <w:r w:rsidR="00506855" w:rsidRPr="00506855">
          <w:rPr>
            <w:rStyle w:val="Hipervnculo"/>
            <w:lang w:val="es-CO"/>
          </w:rPr>
          <w:t>ivan.cabeza@unisabana.edu.co</w:t>
        </w:r>
      </w:hyperlink>
      <w:r w:rsidR="00506855" w:rsidRPr="00506855">
        <w:rPr>
          <w:lang w:val="es-CO"/>
        </w:rPr>
        <w:t xml:space="preserve">; </w:t>
      </w:r>
      <w:hyperlink r:id="rId11" w:history="1">
        <w:r w:rsidR="00440441" w:rsidRPr="00506855">
          <w:rPr>
            <w:rStyle w:val="Hipervnculo"/>
            <w:lang w:val="es-CO"/>
          </w:rPr>
          <w:t>jpgraciar@udistrital.edu.co</w:t>
        </w:r>
      </w:hyperlink>
    </w:p>
    <w:p w14:paraId="4D3428C1" w14:textId="41BFD6B5" w:rsidR="00440441" w:rsidRPr="00506855" w:rsidRDefault="00440441" w:rsidP="00182221">
      <w:pPr>
        <w:pStyle w:val="CETAddress"/>
        <w:rPr>
          <w:lang w:val="es-CO"/>
        </w:rPr>
      </w:pPr>
    </w:p>
    <w:p w14:paraId="32FB03AD" w14:textId="77777777" w:rsidR="000C4802" w:rsidRDefault="000C4802" w:rsidP="000C4802">
      <w:pPr>
        <w:pStyle w:val="CETBodytext"/>
      </w:pPr>
      <w:r>
        <w:t>The health and safety in the industry integrate procedures, techniques, and elements that can be applied to an organization to identify, evaluate, and control dangerous agents used in processes and activities. In addition, it is used to measure and propose actions for the prevention of incidents or health diseases. The main objective is to save the lives and health of the workers and avoid any possible damage to the company's actives. (Arellano y Rodríguez, 2013). For example, the Colombian company in the metal-mechanic sector studied counts with operational and administrative workers with a Risk Level of three (medium). The company supplies services for the oil sector, specifically in producing and maintaining steel pieces. The main risks in the company are work incidents, extern property damage, and professional diseases.</w:t>
      </w:r>
    </w:p>
    <w:p w14:paraId="62C8C987" w14:textId="77777777" w:rsidR="000C4802" w:rsidRDefault="000C4802" w:rsidP="000C4802">
      <w:pPr>
        <w:pStyle w:val="CETBodytext"/>
      </w:pPr>
      <w:r>
        <w:t>In consequence, they have a goal to establish procedures for the health preservation of workers and improve corporate image and competitiveness. All the mentioned above is because their clients are essential Colombian companies like CASAVAL and ECOPETROL. Therefore, the main objective of the present research was to design the safety and health management system for an essential Colombian company in the metal-mechanic sector. The aim was to guarantee a healthy team worker with safe work conditions. For it, we used a four steps methodology: the first step consists of SWOT (strengths, weaknesses, opportunities, and threats) analysis, followed by the five forces diagram by Porter, then, we identified the intervention needs for risk prevention using the Colombian Technical Guide CTG 45 norm, and finally, the study established the control, following and evaluation measures for the management system.</w:t>
      </w:r>
    </w:p>
    <w:p w14:paraId="322AC97F" w14:textId="77777777" w:rsidR="000C4802" w:rsidRDefault="000C4802" w:rsidP="000C4802">
      <w:pPr>
        <w:pStyle w:val="CETBodytext"/>
      </w:pPr>
      <w:r>
        <w:t>The workforce in the company develops their activities under constant noise, vibrations, low luminary, and the exposure of inorganic dust. Additionally, they have contact with shavings, solvents, metals, and daily they work in prolonged postures or make repetitive motions. Also, workers deal with decision-making processes and mental charges (Mancera, et al, 2018; Gracia, et al., 2018). According to the process developed in the company, the present work established different programs for monitoring different aspects: epidemiologic, wellness, auto care, and risk prevention. Furthermore, process, structure, and result indicators were developed to measure the efficiency of the safety management system. These indicators can also identify and execute corrective actions and continuous improvement strategies for no conformity found.</w:t>
      </w:r>
    </w:p>
    <w:p w14:paraId="54A8EDDE" w14:textId="0A3A001A" w:rsidR="00182221" w:rsidRDefault="00440441" w:rsidP="000C4802">
      <w:pPr>
        <w:pStyle w:val="CETBodytext"/>
        <w:rPr>
          <w:lang w:val="en-GB"/>
        </w:rPr>
      </w:pPr>
      <w:r w:rsidRPr="00440441">
        <w:rPr>
          <w:b/>
          <w:lang w:val="en-GB"/>
        </w:rPr>
        <w:t xml:space="preserve">Keywords: </w:t>
      </w:r>
      <w:r w:rsidRPr="00440441">
        <w:rPr>
          <w:lang w:val="en-GB"/>
        </w:rPr>
        <w:t>Health and safety management systems, Risk management, Risk assessment, Risks prevention.</w:t>
      </w:r>
    </w:p>
    <w:p w14:paraId="6E22A941" w14:textId="77777777" w:rsidR="00065EB2" w:rsidRDefault="00065EB2" w:rsidP="000C4802">
      <w:pPr>
        <w:pStyle w:val="CETBodytext"/>
        <w:rPr>
          <w:lang w:val="en-GB"/>
        </w:rPr>
      </w:pPr>
    </w:p>
    <w:p w14:paraId="7733D63C" w14:textId="1BA87568" w:rsidR="00521643" w:rsidRDefault="00E3164A" w:rsidP="00065EB2">
      <w:pPr>
        <w:pStyle w:val="CETHeading1"/>
        <w:spacing w:before="0" w:after="0"/>
      </w:pPr>
      <w:r>
        <w:t>Introduction</w:t>
      </w:r>
    </w:p>
    <w:p w14:paraId="28ACCF94" w14:textId="77777777" w:rsidR="00065EB2" w:rsidRPr="00065EB2" w:rsidRDefault="00065EB2" w:rsidP="00065EB2">
      <w:pPr>
        <w:pStyle w:val="CETBodytext"/>
      </w:pPr>
    </w:p>
    <w:p w14:paraId="5E8C465C" w14:textId="20351EA6" w:rsidR="000C4802" w:rsidRDefault="000C4802" w:rsidP="00065EB2">
      <w:pPr>
        <w:pStyle w:val="Textoindependiente"/>
        <w:spacing w:after="0" w:line="240" w:lineRule="auto"/>
        <w:ind w:right="-2"/>
      </w:pPr>
      <w:r w:rsidRPr="00065EB2">
        <w:rPr>
          <w:lang w:val="en-US"/>
        </w:rPr>
        <w:t xml:space="preserve">The management of occupational safety and health as embodied in ISO 45001:2018 is based on the systems thinking approach applicable to organizations, as assessed by Karanikas et al (2022). According to </w:t>
      </w:r>
      <w:proofErr w:type="spellStart"/>
      <w:r w:rsidRPr="00065EB2">
        <w:rPr>
          <w:lang w:val="en-US"/>
        </w:rPr>
        <w:t>Çalış</w:t>
      </w:r>
      <w:proofErr w:type="spellEnd"/>
      <w:r w:rsidRPr="00065EB2">
        <w:rPr>
          <w:lang w:val="en-US"/>
        </w:rPr>
        <w:t xml:space="preserve"> and </w:t>
      </w:r>
      <w:proofErr w:type="spellStart"/>
      <w:r w:rsidRPr="00065EB2">
        <w:rPr>
          <w:lang w:val="en-US"/>
        </w:rPr>
        <w:t>Büyükakıncı</w:t>
      </w:r>
      <w:proofErr w:type="spellEnd"/>
      <w:r w:rsidRPr="00065EB2">
        <w:rPr>
          <w:lang w:val="en-US"/>
        </w:rPr>
        <w:t xml:space="preserve"> (2019), there is evidence that occupational safety and health management systems for accreditation purposes have been increasing worldwide in response to the large number of occupational accidents occurring in companies. Nowadays, enterprises must take care not only to satisfy and accomplish the clients' requirements but also to be encouraged to </w:t>
      </w:r>
      <w:proofErr w:type="spellStart"/>
      <w:r w:rsidRPr="00065EB2">
        <w:rPr>
          <w:lang w:val="en-US"/>
        </w:rPr>
        <w:t>fulfill</w:t>
      </w:r>
      <w:proofErr w:type="spellEnd"/>
      <w:r w:rsidRPr="00065EB2">
        <w:rPr>
          <w:lang w:val="en-US"/>
        </w:rPr>
        <w:t xml:space="preserve"> their employees' expectations. There is increasing interest in occupational health and safety management systems in companies and a higher level of training in quality systems (ISO 9001) and the application of environmental management systems (ISO 14001). Implementing these management systems has shown considerable savings in all types of organizations </w:t>
      </w:r>
      <w:r w:rsidRPr="00065EB2">
        <w:rPr>
          <w:lang w:val="en-US"/>
        </w:rPr>
        <w:lastRenderedPageBreak/>
        <w:t>(Redinger &amp; Levine, 2010). For this purpose, it is crucial to implement management systems to continuously</w:t>
      </w:r>
      <w:r>
        <w:t xml:space="preserve"> improve the work conditions, safety, risk reduction, and compliance with the norms related to these aspects to avoid penalties and fines (</w:t>
      </w:r>
      <w:proofErr w:type="spellStart"/>
      <w:r>
        <w:t>Delvika</w:t>
      </w:r>
      <w:proofErr w:type="spellEnd"/>
      <w:r>
        <w:t xml:space="preserve"> &amp; Mustafa, 2019). As Stefana and Paltrinieri (2020) point out, in the industry, it is crucial to </w:t>
      </w:r>
      <w:proofErr w:type="spellStart"/>
      <w:r>
        <w:t>analyze</w:t>
      </w:r>
      <w:proofErr w:type="spellEnd"/>
      <w:r>
        <w:t xml:space="preserve"> the risks from the people, the processes, and the physical plant, to detect the dangers and thus recognize the risks and their consequences. According to the study carried out by Santos et al, (2013) and consistent with Vinodkumar y Bhasi (2011), there are different benefits for small companies that implement Occupational Health and Safety Management Systems, among which the following stand out: improvement of working conditions, compliance with regulations and the generation of better internal communication for the worker about occupational risks. In this way, the number of accidents and their associated costs is reduced, thus improving the internal and external corporate image, and increasing the profitability of the companies. There are also other benefits, such as reducing absenteeism and the rate of reported occupational illnesses. (Santos et al, 2013). In addition, the prevention and mitigation of </w:t>
      </w:r>
      <w:proofErr w:type="spellStart"/>
      <w:r>
        <w:t>labor</w:t>
      </w:r>
      <w:proofErr w:type="spellEnd"/>
      <w:r>
        <w:t xml:space="preserve"> diseases and accidents are the responsibilities of the management and employees in an enterprise. That is why enterprises must create, implement, and maintain health and safety management systems to show continuous improvement according to the actual norms for safety and health and contribute to keeping the employers with the best conditions in terms of health and safety.</w:t>
      </w:r>
    </w:p>
    <w:p w14:paraId="00755AB2" w14:textId="163B4F8F" w:rsidR="00141B43" w:rsidRPr="000C4802" w:rsidRDefault="000C4802" w:rsidP="000775DA">
      <w:pPr>
        <w:pStyle w:val="Textoindependiente"/>
        <w:spacing w:before="226"/>
        <w:ind w:right="-2"/>
        <w:rPr>
          <w:highlight w:val="green"/>
        </w:rPr>
      </w:pPr>
      <w:r>
        <w:t xml:space="preserve">Furthermore, it is mandatory to implement control measures in each one of the processes in the company that intern, and external organizations will audit to validate the system (Cruz &amp; Mercado, 2015). The case study of this paper is about a company in the metal-mechanic sector in Colombia. The company does not have a health and safety management system implemented. Because of it, it is under vulnerability to risk and safety incidents, damage to the own property, damage to external properties, and present </w:t>
      </w:r>
      <w:proofErr w:type="spellStart"/>
      <w:r>
        <w:t>labor</w:t>
      </w:r>
      <w:proofErr w:type="spellEnd"/>
      <w:r>
        <w:t xml:space="preserve"> diseases. To solve this situation, the company established procedures for maintaining and preserving the worker's health. Also, they want to improve the corporative image and competitivity to reach new clients like CASAVAL and ECOPETROL, big Colombian enterprises that choose their providers with management systems implemented. For this reason, the objective of this contribution is to illustrate some elements that are part of the design of the Occupational Health and Safety Management System carried out in the metal-mechanical company of the study, which, through its implementation, will allow the company to have a healthy human team in a safe workplace, following current regulations.</w:t>
      </w:r>
    </w:p>
    <w:p w14:paraId="2506704A" w14:textId="721E3E30" w:rsidR="009772C8" w:rsidRDefault="009772C8" w:rsidP="00065EB2">
      <w:pPr>
        <w:pStyle w:val="CETHeading1"/>
        <w:spacing w:before="0" w:after="0"/>
        <w:rPr>
          <w:rFonts w:eastAsiaTheme="minorHAnsi"/>
        </w:rPr>
      </w:pPr>
      <w:r w:rsidRPr="000226AB">
        <w:rPr>
          <w:rFonts w:eastAsiaTheme="minorHAnsi"/>
        </w:rPr>
        <w:t>Materials and methods</w:t>
      </w:r>
    </w:p>
    <w:p w14:paraId="0D4498D9" w14:textId="77777777" w:rsidR="00065EB2" w:rsidRPr="00065EB2" w:rsidRDefault="00065EB2" w:rsidP="00065EB2">
      <w:pPr>
        <w:pStyle w:val="CETBodytext"/>
        <w:rPr>
          <w:rFonts w:eastAsiaTheme="minorHAnsi"/>
        </w:rPr>
      </w:pPr>
    </w:p>
    <w:p w14:paraId="656CB3D6" w14:textId="658FFB21" w:rsidR="001930C5" w:rsidRDefault="009F680D" w:rsidP="00065EB2">
      <w:pPr>
        <w:pStyle w:val="CETBodytext"/>
        <w:spacing w:line="240" w:lineRule="auto"/>
        <w:rPr>
          <w:lang w:val="en-GB"/>
        </w:rPr>
      </w:pPr>
      <w:r w:rsidRPr="00065EB2">
        <w:rPr>
          <w:lang w:val="en-GB"/>
        </w:rPr>
        <w:t>The methodology used in the present work has four main steps. The first step is related to the initial diagnostic where the activities developed are:</w:t>
      </w:r>
      <w:r w:rsidR="00317FB9" w:rsidRPr="00065EB2">
        <w:rPr>
          <w:lang w:val="en-GB"/>
        </w:rPr>
        <w:t xml:space="preserve"> a) </w:t>
      </w:r>
      <w:r w:rsidRPr="00065EB2">
        <w:rPr>
          <w:lang w:val="en-GB"/>
        </w:rPr>
        <w:t>Checklist elaboration due visits to the company where it was possible to determine the specific situation in the risk and safety issues.</w:t>
      </w:r>
      <w:r w:rsidR="00317FB9" w:rsidRPr="00065EB2">
        <w:rPr>
          <w:lang w:val="en-GB"/>
        </w:rPr>
        <w:t xml:space="preserve"> b) </w:t>
      </w:r>
      <w:r w:rsidRPr="00065EB2">
        <w:rPr>
          <w:lang w:val="en-GB"/>
        </w:rPr>
        <w:t>Brainstorming to determine the measures for the risk and safe intervention</w:t>
      </w:r>
      <w:r w:rsidR="008A563D" w:rsidRPr="00065EB2">
        <w:rPr>
          <w:lang w:val="en-GB"/>
        </w:rPr>
        <w:t>.</w:t>
      </w:r>
      <w:r w:rsidR="00317FB9" w:rsidRPr="00065EB2">
        <w:rPr>
          <w:lang w:val="en-GB"/>
        </w:rPr>
        <w:t xml:space="preserve"> c) </w:t>
      </w:r>
      <w:r w:rsidRPr="00065EB2">
        <w:rPr>
          <w:lang w:val="en-GB"/>
        </w:rPr>
        <w:t>Pareto diagram elaboration to identify the compliance of the requirements for risk and safety issues</w:t>
      </w:r>
      <w:r w:rsidR="008A563D" w:rsidRPr="00065EB2">
        <w:rPr>
          <w:lang w:val="en-GB"/>
        </w:rPr>
        <w:t>.</w:t>
      </w:r>
      <w:r w:rsidR="00317FB9" w:rsidRPr="00065EB2">
        <w:rPr>
          <w:lang w:val="en-GB"/>
        </w:rPr>
        <w:t xml:space="preserve"> d) </w:t>
      </w:r>
      <w:r w:rsidRPr="00065EB2">
        <w:rPr>
          <w:lang w:val="en-GB"/>
        </w:rPr>
        <w:t>Interviews with workers of the company to measure the knowledge about the company structure</w:t>
      </w:r>
      <w:r w:rsidR="008A563D" w:rsidRPr="00065EB2">
        <w:rPr>
          <w:lang w:val="en-GB"/>
        </w:rPr>
        <w:t>.</w:t>
      </w:r>
      <w:r w:rsidR="00317FB9" w:rsidRPr="00065EB2">
        <w:rPr>
          <w:lang w:val="en-GB"/>
        </w:rPr>
        <w:t xml:space="preserve"> e) </w:t>
      </w:r>
      <w:r w:rsidR="008A563D" w:rsidRPr="00065EB2">
        <w:rPr>
          <w:lang w:val="en-GB"/>
        </w:rPr>
        <w:t>SWOT</w:t>
      </w:r>
      <w:r w:rsidRPr="00065EB2">
        <w:rPr>
          <w:lang w:val="en-GB"/>
        </w:rPr>
        <w:t xml:space="preserve"> analysis</w:t>
      </w:r>
      <w:r w:rsidR="008A563D" w:rsidRPr="00065EB2">
        <w:rPr>
          <w:lang w:val="en-GB"/>
        </w:rPr>
        <w:t>.</w:t>
      </w:r>
      <w:r w:rsidR="00317FB9" w:rsidRPr="00065EB2">
        <w:rPr>
          <w:lang w:val="en-GB"/>
        </w:rPr>
        <w:t xml:space="preserve"> f) </w:t>
      </w:r>
      <w:r w:rsidRPr="00065EB2">
        <w:rPr>
          <w:lang w:val="en-GB"/>
        </w:rPr>
        <w:t>Porter´s five forces analysis</w:t>
      </w:r>
      <w:r w:rsidR="008A563D" w:rsidRPr="00065EB2">
        <w:rPr>
          <w:lang w:val="en-GB"/>
        </w:rPr>
        <w:t>.</w:t>
      </w:r>
      <w:r w:rsidR="00317FB9" w:rsidRPr="00065EB2">
        <w:rPr>
          <w:lang w:val="en-GB"/>
        </w:rPr>
        <w:t xml:space="preserve"> g) </w:t>
      </w:r>
      <w:r w:rsidRPr="00065EB2">
        <w:rPr>
          <w:lang w:val="en-GB"/>
        </w:rPr>
        <w:t>Causes tree for the incidents presented in the company</w:t>
      </w:r>
      <w:r w:rsidR="008A563D" w:rsidRPr="00065EB2">
        <w:rPr>
          <w:lang w:val="en-GB"/>
        </w:rPr>
        <w:t>.</w:t>
      </w:r>
      <w:r w:rsidR="00317FB9" w:rsidRPr="00065EB2">
        <w:rPr>
          <w:lang w:val="en-GB"/>
        </w:rPr>
        <w:t xml:space="preserve"> h) </w:t>
      </w:r>
      <w:r w:rsidRPr="00065EB2">
        <w:rPr>
          <w:lang w:val="en-GB"/>
        </w:rPr>
        <w:t xml:space="preserve">Analysis of the documents about risk and safe aspects reviewing the accomplishment with the Colombian norms and laws.  </w:t>
      </w:r>
      <w:r w:rsidR="005C7FDA" w:rsidRPr="00065EB2">
        <w:rPr>
          <w:lang w:val="en-GB"/>
        </w:rPr>
        <w:t>The second step consists of formulating the intervention acts for risk and safety management based on the Colombian methodology CTG 45 Icontec. For this purpose, a risk overview and a risk matrix were elaborated to determine the company's level of risk and establish the intervention acts for each risk and safety issue found. In addition, using a cause-and-effect diagram and the 5W2H method was possible to explore the cause-effect issues due to the risks found in the first step and analyze the selection criteria for the interventions proposed</w:t>
      </w:r>
      <w:r w:rsidR="00D858F6" w:rsidRPr="00065EB2">
        <w:rPr>
          <w:lang w:val="en-GB"/>
        </w:rPr>
        <w:t xml:space="preserve">. </w:t>
      </w:r>
      <w:r w:rsidR="00263C30" w:rsidRPr="00065EB2">
        <w:rPr>
          <w:lang w:val="en-GB"/>
        </w:rPr>
        <w:t>According to the actual norms, the third step was to establish the documentation needed in the risk and safety management system for</w:t>
      </w:r>
      <w:r w:rsidR="00092462" w:rsidRPr="00065EB2">
        <w:rPr>
          <w:lang w:val="en-GB"/>
        </w:rPr>
        <w:t xml:space="preserve"> the case study company.</w:t>
      </w:r>
      <w:r w:rsidR="00263C30" w:rsidRPr="00065EB2">
        <w:rPr>
          <w:lang w:val="en-GB"/>
        </w:rPr>
        <w:t xml:space="preserve"> Finally, the fourth step was defining the control measures, the following methods, and the risk and safety management system's evaluation using a matrix with structure, process, and result indicators.</w:t>
      </w:r>
    </w:p>
    <w:p w14:paraId="5FA21460" w14:textId="77777777" w:rsidR="00065EB2" w:rsidRPr="00065EB2" w:rsidRDefault="00065EB2" w:rsidP="00065EB2">
      <w:pPr>
        <w:pStyle w:val="CETBodytext"/>
        <w:spacing w:line="240" w:lineRule="auto"/>
        <w:rPr>
          <w:lang w:val="en-GB"/>
        </w:rPr>
      </w:pPr>
    </w:p>
    <w:p w14:paraId="0DF349D2" w14:textId="63F8050C" w:rsidR="00DD4A41" w:rsidRDefault="00DD4A41" w:rsidP="00065EB2">
      <w:pPr>
        <w:pStyle w:val="CETHeading1"/>
        <w:spacing w:before="0" w:after="0"/>
      </w:pPr>
      <w:r w:rsidRPr="00065EB2">
        <w:t>Results</w:t>
      </w:r>
      <w:r w:rsidR="00081B7C" w:rsidRPr="00065EB2">
        <w:t xml:space="preserve"> and Analysis </w:t>
      </w:r>
    </w:p>
    <w:p w14:paraId="3CE68237" w14:textId="77777777" w:rsidR="00065EB2" w:rsidRPr="00065EB2" w:rsidRDefault="00065EB2" w:rsidP="00065EB2">
      <w:pPr>
        <w:pStyle w:val="CETBodytext"/>
      </w:pPr>
    </w:p>
    <w:p w14:paraId="447F5ACD" w14:textId="5139C8CC" w:rsidR="0018288B" w:rsidRPr="00065EB2" w:rsidRDefault="00081B7C" w:rsidP="00065EB2">
      <w:pPr>
        <w:pStyle w:val="CETHeading1"/>
        <w:numPr>
          <w:ilvl w:val="0"/>
          <w:numId w:val="0"/>
        </w:numPr>
        <w:spacing w:before="0" w:after="0"/>
      </w:pPr>
      <w:r w:rsidRPr="00065EB2">
        <w:rPr>
          <w:lang w:val="es-CO"/>
        </w:rPr>
        <w:t xml:space="preserve">3.1 </w:t>
      </w:r>
      <w:r w:rsidR="00BF7ADB" w:rsidRPr="00065EB2">
        <w:t>Risk and safety diagnostic</w:t>
      </w:r>
    </w:p>
    <w:p w14:paraId="463B11C9" w14:textId="1AD3FA5F" w:rsidR="00BF7ADB" w:rsidRDefault="00453124" w:rsidP="00065EB2">
      <w:pPr>
        <w:pStyle w:val="CETBodytext"/>
        <w:spacing w:line="240" w:lineRule="auto"/>
      </w:pPr>
      <w:r w:rsidRPr="00065EB2">
        <w:t xml:space="preserve">After developing the activities for the diagnostic, the results show that the accomplishment level </w:t>
      </w:r>
      <w:r w:rsidR="00CB50C6" w:rsidRPr="00065EB2">
        <w:t>in the</w:t>
      </w:r>
      <w:r w:rsidRPr="00065EB2">
        <w:t xml:space="preserve"> </w:t>
      </w:r>
      <w:r w:rsidR="00CB50C6" w:rsidRPr="00065EB2">
        <w:t>metal-mechanical company</w:t>
      </w:r>
      <w:r w:rsidRPr="00065EB2">
        <w:t xml:space="preserve"> was 74%. However, regarding the requirements of the norm, the accomplishment percent calculated was 26%.</w:t>
      </w:r>
    </w:p>
    <w:p w14:paraId="5138BB9E" w14:textId="77777777" w:rsidR="00065EB2" w:rsidRDefault="00065EB2" w:rsidP="00065EB2">
      <w:pPr>
        <w:pStyle w:val="CETBodytext"/>
        <w:spacing w:line="240" w:lineRule="auto"/>
      </w:pPr>
    </w:p>
    <w:p w14:paraId="44413835" w14:textId="6E6E7B2E" w:rsidR="000A69FA" w:rsidRPr="009C5D1A" w:rsidRDefault="000A69FA" w:rsidP="00065EB2">
      <w:pPr>
        <w:pStyle w:val="CETHeading1"/>
        <w:numPr>
          <w:ilvl w:val="0"/>
          <w:numId w:val="0"/>
        </w:numPr>
        <w:spacing w:before="0" w:after="0"/>
      </w:pPr>
      <w:r w:rsidRPr="009C5D1A">
        <w:t xml:space="preserve">3.1.1 </w:t>
      </w:r>
      <w:r w:rsidR="008A563D">
        <w:t>SWOT</w:t>
      </w:r>
      <w:r w:rsidRPr="009C5D1A">
        <w:t xml:space="preserve"> </w:t>
      </w:r>
      <w:r w:rsidR="00402D21" w:rsidRPr="009C5D1A">
        <w:t>analysis</w:t>
      </w:r>
      <w:r w:rsidRPr="009C5D1A">
        <w:t xml:space="preserve"> </w:t>
      </w:r>
    </w:p>
    <w:p w14:paraId="198E1801" w14:textId="7660215C" w:rsidR="00EB0F09" w:rsidRDefault="009C5D1A" w:rsidP="00065EB2">
      <w:pPr>
        <w:pStyle w:val="CETBodytext"/>
        <w:spacing w:line="240" w:lineRule="auto"/>
      </w:pPr>
      <w:r>
        <w:t xml:space="preserve">Thanks to the interviews to each one of the employees, the elaboration of a check list and a SWOT analysis was possible to establish and to identify the condition of the </w:t>
      </w:r>
      <w:r w:rsidRPr="00065EB2">
        <w:t xml:space="preserve">enterprise regarding the accomplishment of the requirements of the norms. </w:t>
      </w:r>
      <w:r w:rsidR="00FD2881" w:rsidRPr="00065EB2">
        <w:t>Table</w:t>
      </w:r>
      <w:r w:rsidRPr="00065EB2">
        <w:t xml:space="preserve"> 1 show the results</w:t>
      </w:r>
      <w:r w:rsidR="00FD2881" w:rsidRPr="00065EB2">
        <w:t xml:space="preserve"> found </w:t>
      </w:r>
      <w:r w:rsidR="00092462" w:rsidRPr="00065EB2">
        <w:t xml:space="preserve">in the metal-mechanical company of the study </w:t>
      </w:r>
      <w:r w:rsidR="00011B55" w:rsidRPr="00065EB2">
        <w:t>(</w:t>
      </w:r>
      <w:proofErr w:type="spellStart"/>
      <w:r w:rsidR="00011B55" w:rsidRPr="00065EB2">
        <w:t>Górny</w:t>
      </w:r>
      <w:proofErr w:type="spellEnd"/>
      <w:r w:rsidR="00011B55" w:rsidRPr="00065EB2">
        <w:t>, 2020)</w:t>
      </w:r>
      <w:r w:rsidR="00EC3131" w:rsidRPr="00065EB2">
        <w:t>.</w:t>
      </w:r>
    </w:p>
    <w:p w14:paraId="60ECC041" w14:textId="08828394" w:rsidR="00FB0485" w:rsidRDefault="00FB0485" w:rsidP="00EB0F09">
      <w:pPr>
        <w:pStyle w:val="CETBodytext"/>
      </w:pPr>
    </w:p>
    <w:p w14:paraId="3E8E7C91" w14:textId="7B4D9379" w:rsidR="00065EB2" w:rsidRDefault="00065EB2" w:rsidP="00EB0F09">
      <w:pPr>
        <w:pStyle w:val="CETBodytext"/>
      </w:pPr>
    </w:p>
    <w:p w14:paraId="5BFE3275" w14:textId="79BD30E3" w:rsidR="006542BB" w:rsidRDefault="00317FB9" w:rsidP="00DD4A41">
      <w:pPr>
        <w:pStyle w:val="CETBodytext"/>
        <w:rPr>
          <w:i/>
        </w:rPr>
      </w:pPr>
      <w:r w:rsidRPr="00227419">
        <w:rPr>
          <w:rFonts w:cs="Arial"/>
          <w:b/>
          <w:bCs/>
          <w:noProof/>
          <w:color w:val="000000"/>
          <w:szCs w:val="18"/>
          <w:lang w:val="es-CO" w:eastAsia="es-CO"/>
        </w:rPr>
        <w:lastRenderedPageBreak/>
        <mc:AlternateContent>
          <mc:Choice Requires="wps">
            <w:drawing>
              <wp:anchor distT="0" distB="0" distL="114300" distR="114300" simplePos="0" relativeHeight="251659264" behindDoc="0" locked="0" layoutInCell="1" allowOverlap="1" wp14:anchorId="4717B4FA" wp14:editId="0F692BC8">
                <wp:simplePos x="0" y="0"/>
                <wp:positionH relativeFrom="column">
                  <wp:posOffset>36146</wp:posOffset>
                </wp:positionH>
                <wp:positionV relativeFrom="paragraph">
                  <wp:posOffset>170830</wp:posOffset>
                </wp:positionV>
                <wp:extent cx="1722202" cy="3246285"/>
                <wp:effectExtent l="0" t="0" r="30480" b="30480"/>
                <wp:wrapNone/>
                <wp:docPr id="2" name="Conector recto 2"/>
                <wp:cNvGraphicFramePr/>
                <a:graphic xmlns:a="http://schemas.openxmlformats.org/drawingml/2006/main">
                  <a:graphicData uri="http://schemas.microsoft.com/office/word/2010/wordprocessingShape">
                    <wps:wsp>
                      <wps:cNvCnPr/>
                      <wps:spPr>
                        <a:xfrm>
                          <a:off x="0" y="0"/>
                          <a:ext cx="1722202" cy="3246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1BA304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3.45pt" to="138.45pt,2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" strokecolor="black [3040]"/>
            </w:pict>
          </mc:Fallback>
        </mc:AlternateContent>
      </w:r>
      <w:r w:rsidR="00FD2881">
        <w:rPr>
          <w:i/>
        </w:rPr>
        <w:t>Table</w:t>
      </w:r>
      <w:r w:rsidR="00FD2881" w:rsidRPr="00EB0F09">
        <w:rPr>
          <w:i/>
        </w:rPr>
        <w:t xml:space="preserve"> 1 SWOT analysis of the occupational health and safety management system </w:t>
      </w:r>
      <w:proofErr w:type="spellStart"/>
      <w:r w:rsidR="00FD2881" w:rsidRPr="00EB0F09">
        <w:rPr>
          <w:i/>
        </w:rPr>
        <w:t>Inducast</w:t>
      </w:r>
      <w:proofErr w:type="spellEnd"/>
    </w:p>
    <w:tbl>
      <w:tblPr>
        <w:tblW w:w="8818" w:type="dxa"/>
        <w:tblCellMar>
          <w:left w:w="70" w:type="dxa"/>
          <w:right w:w="70" w:type="dxa"/>
        </w:tblCellMar>
        <w:tblLook w:val="04A0" w:firstRow="1" w:lastRow="0" w:firstColumn="1" w:lastColumn="0" w:noHBand="0" w:noVBand="1"/>
      </w:tblPr>
      <w:tblGrid>
        <w:gridCol w:w="2800"/>
        <w:gridCol w:w="3026"/>
        <w:gridCol w:w="2992"/>
      </w:tblGrid>
      <w:tr w:rsidR="006542BB" w:rsidRPr="00227419" w14:paraId="47064A0E" w14:textId="77777777" w:rsidTr="00317FB9">
        <w:trPr>
          <w:trHeight w:val="225"/>
        </w:trPr>
        <w:tc>
          <w:tcPr>
            <w:tcW w:w="2800" w:type="dxa"/>
            <w:vMerge w:val="restart"/>
            <w:tcBorders>
              <w:top w:val="single" w:sz="8" w:space="0" w:color="auto"/>
              <w:left w:val="single" w:sz="8" w:space="0" w:color="auto"/>
              <w:bottom w:val="nil"/>
              <w:right w:val="single" w:sz="8" w:space="0" w:color="auto"/>
            </w:tcBorders>
            <w:shd w:val="clear" w:color="auto" w:fill="auto"/>
            <w:vAlign w:val="center"/>
            <w:hideMark/>
          </w:tcPr>
          <w:p w14:paraId="1FFD89F3" w14:textId="2A034170"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IFAS</w:t>
            </w:r>
          </w:p>
        </w:tc>
        <w:tc>
          <w:tcPr>
            <w:tcW w:w="3026" w:type="dxa"/>
            <w:tcBorders>
              <w:top w:val="single" w:sz="8" w:space="0" w:color="auto"/>
              <w:left w:val="nil"/>
              <w:bottom w:val="single" w:sz="8" w:space="0" w:color="000000"/>
              <w:right w:val="single" w:sz="8" w:space="0" w:color="000000"/>
            </w:tcBorders>
            <w:shd w:val="clear" w:color="000000" w:fill="E7E6E6"/>
            <w:vAlign w:val="center"/>
            <w:hideMark/>
          </w:tcPr>
          <w:p w14:paraId="5CA1F004" w14:textId="77777777"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STRENGTHS (S)</w:t>
            </w:r>
          </w:p>
        </w:tc>
        <w:tc>
          <w:tcPr>
            <w:tcW w:w="2992" w:type="dxa"/>
            <w:tcBorders>
              <w:top w:val="single" w:sz="8" w:space="0" w:color="auto"/>
              <w:left w:val="nil"/>
              <w:bottom w:val="single" w:sz="8" w:space="0" w:color="000000"/>
              <w:right w:val="single" w:sz="8" w:space="0" w:color="auto"/>
            </w:tcBorders>
            <w:shd w:val="clear" w:color="000000" w:fill="E7E6E6"/>
            <w:vAlign w:val="center"/>
            <w:hideMark/>
          </w:tcPr>
          <w:p w14:paraId="4B81A0E5" w14:textId="77777777"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WEAKNESSES (W)</w:t>
            </w:r>
          </w:p>
        </w:tc>
      </w:tr>
      <w:tr w:rsidR="006542BB" w:rsidRPr="00227419" w14:paraId="737CD86E" w14:textId="77777777" w:rsidTr="00317FB9">
        <w:trPr>
          <w:trHeight w:val="387"/>
        </w:trPr>
        <w:tc>
          <w:tcPr>
            <w:tcW w:w="2800" w:type="dxa"/>
            <w:vMerge/>
            <w:tcBorders>
              <w:top w:val="single" w:sz="8" w:space="0" w:color="auto"/>
              <w:left w:val="single" w:sz="8" w:space="0" w:color="auto"/>
              <w:bottom w:val="nil"/>
              <w:right w:val="single" w:sz="8" w:space="0" w:color="auto"/>
            </w:tcBorders>
            <w:vAlign w:val="center"/>
            <w:hideMark/>
          </w:tcPr>
          <w:p w14:paraId="5753E542" w14:textId="77777777" w:rsidR="006542BB" w:rsidRPr="00227419" w:rsidRDefault="006542BB" w:rsidP="00B62A78">
            <w:pPr>
              <w:spacing w:line="240" w:lineRule="auto"/>
              <w:rPr>
                <w:rFonts w:cs="Arial"/>
                <w:b/>
                <w:bCs/>
                <w:color w:val="000000"/>
                <w:szCs w:val="18"/>
                <w:lang w:val="es-CO" w:eastAsia="es-CO"/>
              </w:rPr>
            </w:pPr>
          </w:p>
        </w:tc>
        <w:tc>
          <w:tcPr>
            <w:tcW w:w="3026" w:type="dxa"/>
            <w:tcBorders>
              <w:top w:val="nil"/>
              <w:left w:val="nil"/>
              <w:bottom w:val="nil"/>
              <w:right w:val="single" w:sz="8" w:space="0" w:color="000000"/>
            </w:tcBorders>
            <w:shd w:val="clear" w:color="auto" w:fill="auto"/>
            <w:vAlign w:val="center"/>
            <w:hideMark/>
          </w:tcPr>
          <w:p w14:paraId="488EFD94"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The company has an adequate infrastructure to carry out productive activities.</w:t>
            </w:r>
          </w:p>
        </w:tc>
        <w:tc>
          <w:tcPr>
            <w:tcW w:w="2992" w:type="dxa"/>
            <w:tcBorders>
              <w:top w:val="nil"/>
              <w:left w:val="nil"/>
              <w:bottom w:val="nil"/>
              <w:right w:val="single" w:sz="8" w:space="0" w:color="auto"/>
            </w:tcBorders>
            <w:shd w:val="clear" w:color="auto" w:fill="auto"/>
            <w:hideMark/>
          </w:tcPr>
          <w:p w14:paraId="30A2E01F"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Personnel not very committed to the use of security elements.</w:t>
            </w:r>
          </w:p>
        </w:tc>
      </w:tr>
      <w:tr w:rsidR="006542BB" w:rsidRPr="00227419" w14:paraId="27A572FA" w14:textId="77777777" w:rsidTr="00317FB9">
        <w:trPr>
          <w:trHeight w:val="474"/>
        </w:trPr>
        <w:tc>
          <w:tcPr>
            <w:tcW w:w="2800" w:type="dxa"/>
            <w:vMerge/>
            <w:tcBorders>
              <w:top w:val="single" w:sz="8" w:space="0" w:color="auto"/>
              <w:left w:val="single" w:sz="8" w:space="0" w:color="auto"/>
              <w:bottom w:val="nil"/>
              <w:right w:val="single" w:sz="8" w:space="0" w:color="auto"/>
            </w:tcBorders>
            <w:vAlign w:val="center"/>
            <w:hideMark/>
          </w:tcPr>
          <w:p w14:paraId="1787E5A1" w14:textId="77777777" w:rsidR="006542BB" w:rsidRPr="00227419" w:rsidRDefault="006542BB" w:rsidP="00B62A78">
            <w:pPr>
              <w:spacing w:line="240" w:lineRule="auto"/>
              <w:rPr>
                <w:rFonts w:cs="Arial"/>
                <w:b/>
                <w:bCs/>
                <w:color w:val="000000"/>
                <w:szCs w:val="18"/>
                <w:lang w:eastAsia="es-CO"/>
              </w:rPr>
            </w:pPr>
          </w:p>
        </w:tc>
        <w:tc>
          <w:tcPr>
            <w:tcW w:w="3026" w:type="dxa"/>
            <w:tcBorders>
              <w:top w:val="nil"/>
              <w:left w:val="nil"/>
              <w:bottom w:val="nil"/>
              <w:right w:val="single" w:sz="8" w:space="0" w:color="000000"/>
            </w:tcBorders>
            <w:shd w:val="clear" w:color="auto" w:fill="auto"/>
            <w:vAlign w:val="center"/>
            <w:hideMark/>
          </w:tcPr>
          <w:p w14:paraId="53811A18"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Employees have the necessary protection elements to carry out their work.</w:t>
            </w:r>
          </w:p>
        </w:tc>
        <w:tc>
          <w:tcPr>
            <w:tcW w:w="2992" w:type="dxa"/>
            <w:tcBorders>
              <w:top w:val="nil"/>
              <w:left w:val="nil"/>
              <w:bottom w:val="nil"/>
              <w:right w:val="single" w:sz="8" w:space="0" w:color="auto"/>
            </w:tcBorders>
            <w:shd w:val="clear" w:color="auto" w:fill="auto"/>
            <w:hideMark/>
          </w:tcPr>
          <w:p w14:paraId="1AD2E4EF"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Personnel poorly trained in the occupational health and safety management system.</w:t>
            </w:r>
          </w:p>
        </w:tc>
      </w:tr>
      <w:tr w:rsidR="006542BB" w:rsidRPr="00227419" w14:paraId="24A3DFED" w14:textId="77777777" w:rsidTr="00317FB9">
        <w:trPr>
          <w:trHeight w:val="408"/>
        </w:trPr>
        <w:tc>
          <w:tcPr>
            <w:tcW w:w="2800" w:type="dxa"/>
            <w:vMerge/>
            <w:tcBorders>
              <w:top w:val="single" w:sz="8" w:space="0" w:color="auto"/>
              <w:left w:val="single" w:sz="8" w:space="0" w:color="auto"/>
              <w:bottom w:val="nil"/>
              <w:right w:val="single" w:sz="8" w:space="0" w:color="auto"/>
            </w:tcBorders>
            <w:vAlign w:val="center"/>
            <w:hideMark/>
          </w:tcPr>
          <w:p w14:paraId="1138A59C" w14:textId="77777777" w:rsidR="006542BB" w:rsidRPr="00227419" w:rsidRDefault="006542BB" w:rsidP="00B62A78">
            <w:pPr>
              <w:spacing w:line="240" w:lineRule="auto"/>
              <w:rPr>
                <w:rFonts w:cs="Arial"/>
                <w:b/>
                <w:bCs/>
                <w:color w:val="000000"/>
                <w:szCs w:val="18"/>
                <w:lang w:eastAsia="es-CO"/>
              </w:rPr>
            </w:pPr>
          </w:p>
        </w:tc>
        <w:tc>
          <w:tcPr>
            <w:tcW w:w="3026" w:type="dxa"/>
            <w:tcBorders>
              <w:top w:val="nil"/>
              <w:left w:val="nil"/>
              <w:bottom w:val="nil"/>
              <w:right w:val="single" w:sz="8" w:space="0" w:color="000000"/>
            </w:tcBorders>
            <w:shd w:val="clear" w:color="auto" w:fill="auto"/>
            <w:vAlign w:val="center"/>
            <w:hideMark/>
          </w:tcPr>
          <w:p w14:paraId="4535FB68"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They have security standards in each of the organization's areas of operations.</w:t>
            </w:r>
          </w:p>
        </w:tc>
        <w:tc>
          <w:tcPr>
            <w:tcW w:w="2992" w:type="dxa"/>
            <w:tcBorders>
              <w:top w:val="nil"/>
              <w:left w:val="nil"/>
              <w:bottom w:val="nil"/>
              <w:right w:val="single" w:sz="8" w:space="0" w:color="auto"/>
            </w:tcBorders>
            <w:shd w:val="clear" w:color="auto" w:fill="auto"/>
            <w:hideMark/>
          </w:tcPr>
          <w:p w14:paraId="42FAA54A"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Lack of knowledge regarding occupational health and safety issues.</w:t>
            </w:r>
          </w:p>
        </w:tc>
      </w:tr>
      <w:tr w:rsidR="006542BB" w:rsidRPr="00227419" w14:paraId="467CD4E1" w14:textId="77777777" w:rsidTr="00317FB9">
        <w:trPr>
          <w:trHeight w:val="408"/>
        </w:trPr>
        <w:tc>
          <w:tcPr>
            <w:tcW w:w="2800" w:type="dxa"/>
            <w:vMerge/>
            <w:tcBorders>
              <w:top w:val="single" w:sz="8" w:space="0" w:color="auto"/>
              <w:left w:val="single" w:sz="8" w:space="0" w:color="auto"/>
              <w:bottom w:val="nil"/>
              <w:right w:val="single" w:sz="8" w:space="0" w:color="auto"/>
            </w:tcBorders>
            <w:vAlign w:val="center"/>
            <w:hideMark/>
          </w:tcPr>
          <w:p w14:paraId="3DD24AFC" w14:textId="77777777" w:rsidR="006542BB" w:rsidRPr="00227419" w:rsidRDefault="006542BB" w:rsidP="00B62A78">
            <w:pPr>
              <w:spacing w:line="240" w:lineRule="auto"/>
              <w:rPr>
                <w:rFonts w:cs="Arial"/>
                <w:b/>
                <w:bCs/>
                <w:color w:val="000000"/>
                <w:szCs w:val="18"/>
                <w:lang w:eastAsia="es-CO"/>
              </w:rPr>
            </w:pPr>
          </w:p>
        </w:tc>
        <w:tc>
          <w:tcPr>
            <w:tcW w:w="3026" w:type="dxa"/>
            <w:tcBorders>
              <w:top w:val="nil"/>
              <w:left w:val="nil"/>
              <w:bottom w:val="nil"/>
              <w:right w:val="single" w:sz="8" w:space="0" w:color="000000"/>
            </w:tcBorders>
            <w:shd w:val="clear" w:color="auto" w:fill="auto"/>
            <w:vAlign w:val="center"/>
            <w:hideMark/>
          </w:tcPr>
          <w:p w14:paraId="47936EC0"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Employees are trained to carry out their work, as well as in the use of personal protection elements.</w:t>
            </w:r>
          </w:p>
        </w:tc>
        <w:tc>
          <w:tcPr>
            <w:tcW w:w="2992" w:type="dxa"/>
            <w:tcBorders>
              <w:top w:val="nil"/>
              <w:left w:val="nil"/>
              <w:bottom w:val="nil"/>
              <w:right w:val="single" w:sz="8" w:space="0" w:color="auto"/>
            </w:tcBorders>
            <w:shd w:val="clear" w:color="auto" w:fill="auto"/>
            <w:hideMark/>
          </w:tcPr>
          <w:p w14:paraId="7E0CA758"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Little culture related to safety and health at work.</w:t>
            </w:r>
          </w:p>
        </w:tc>
      </w:tr>
      <w:tr w:rsidR="006542BB" w:rsidRPr="00227419" w14:paraId="5A7796D3" w14:textId="77777777" w:rsidTr="00317FB9">
        <w:trPr>
          <w:trHeight w:val="290"/>
        </w:trPr>
        <w:tc>
          <w:tcPr>
            <w:tcW w:w="2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FF8398" w14:textId="39099996"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EFAS</w:t>
            </w:r>
          </w:p>
        </w:tc>
        <w:tc>
          <w:tcPr>
            <w:tcW w:w="3026" w:type="dxa"/>
            <w:vMerge w:val="restart"/>
            <w:tcBorders>
              <w:top w:val="nil"/>
              <w:left w:val="single" w:sz="8" w:space="0" w:color="auto"/>
              <w:bottom w:val="nil"/>
              <w:right w:val="single" w:sz="8" w:space="0" w:color="000000"/>
            </w:tcBorders>
            <w:shd w:val="clear" w:color="auto" w:fill="auto"/>
            <w:vAlign w:val="center"/>
            <w:hideMark/>
          </w:tcPr>
          <w:p w14:paraId="0E683F7B"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Willingness and commitment by the organization for the implementation of the occupational health and safety management system.</w:t>
            </w:r>
          </w:p>
        </w:tc>
        <w:tc>
          <w:tcPr>
            <w:tcW w:w="2992" w:type="dxa"/>
            <w:tcBorders>
              <w:top w:val="nil"/>
              <w:left w:val="nil"/>
              <w:bottom w:val="nil"/>
              <w:right w:val="single" w:sz="8" w:space="0" w:color="auto"/>
            </w:tcBorders>
            <w:shd w:val="clear" w:color="auto" w:fill="auto"/>
            <w:hideMark/>
          </w:tcPr>
          <w:p w14:paraId="5057FC51"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Lack of activities and programs that encourage self-care.</w:t>
            </w:r>
          </w:p>
        </w:tc>
      </w:tr>
      <w:tr w:rsidR="006542BB" w:rsidRPr="00227419" w14:paraId="6E5E0100" w14:textId="77777777" w:rsidTr="00317FB9">
        <w:trPr>
          <w:trHeight w:val="430"/>
        </w:trPr>
        <w:tc>
          <w:tcPr>
            <w:tcW w:w="2800" w:type="dxa"/>
            <w:vMerge/>
            <w:tcBorders>
              <w:top w:val="nil"/>
              <w:left w:val="single" w:sz="8" w:space="0" w:color="auto"/>
              <w:bottom w:val="single" w:sz="8" w:space="0" w:color="000000"/>
              <w:right w:val="single" w:sz="8" w:space="0" w:color="auto"/>
            </w:tcBorders>
            <w:vAlign w:val="center"/>
            <w:hideMark/>
          </w:tcPr>
          <w:p w14:paraId="38E20FF8" w14:textId="77777777" w:rsidR="006542BB" w:rsidRPr="00227419" w:rsidRDefault="006542BB" w:rsidP="00B62A78">
            <w:pPr>
              <w:spacing w:line="240" w:lineRule="auto"/>
              <w:rPr>
                <w:rFonts w:cs="Arial"/>
                <w:b/>
                <w:bCs/>
                <w:color w:val="000000"/>
                <w:szCs w:val="18"/>
                <w:lang w:eastAsia="es-CO"/>
              </w:rPr>
            </w:pPr>
          </w:p>
        </w:tc>
        <w:tc>
          <w:tcPr>
            <w:tcW w:w="3026" w:type="dxa"/>
            <w:vMerge/>
            <w:tcBorders>
              <w:top w:val="nil"/>
              <w:left w:val="single" w:sz="8" w:space="0" w:color="auto"/>
              <w:bottom w:val="nil"/>
              <w:right w:val="single" w:sz="8" w:space="0" w:color="000000"/>
            </w:tcBorders>
            <w:vAlign w:val="center"/>
            <w:hideMark/>
          </w:tcPr>
          <w:p w14:paraId="538B6579" w14:textId="77777777" w:rsidR="006542BB" w:rsidRPr="00227419" w:rsidRDefault="006542BB" w:rsidP="00B62A78">
            <w:pPr>
              <w:spacing w:line="240" w:lineRule="auto"/>
              <w:rPr>
                <w:rFonts w:cs="Arial"/>
                <w:color w:val="000000"/>
                <w:szCs w:val="18"/>
                <w:lang w:eastAsia="es-CO"/>
              </w:rPr>
            </w:pPr>
          </w:p>
        </w:tc>
        <w:tc>
          <w:tcPr>
            <w:tcW w:w="2992" w:type="dxa"/>
            <w:tcBorders>
              <w:top w:val="nil"/>
              <w:left w:val="nil"/>
              <w:bottom w:val="nil"/>
              <w:right w:val="single" w:sz="8" w:space="0" w:color="auto"/>
            </w:tcBorders>
            <w:shd w:val="clear" w:color="auto" w:fill="auto"/>
            <w:hideMark/>
          </w:tcPr>
          <w:p w14:paraId="25C0BEA2"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Full compliance with the requirements established in the regulations is not evidenced.</w:t>
            </w:r>
          </w:p>
        </w:tc>
      </w:tr>
      <w:tr w:rsidR="006542BB" w:rsidRPr="00227419" w14:paraId="4BA25B7D" w14:textId="77777777" w:rsidTr="00317FB9">
        <w:trPr>
          <w:trHeight w:val="376"/>
        </w:trPr>
        <w:tc>
          <w:tcPr>
            <w:tcW w:w="2800" w:type="dxa"/>
            <w:vMerge/>
            <w:tcBorders>
              <w:top w:val="nil"/>
              <w:left w:val="single" w:sz="8" w:space="0" w:color="auto"/>
              <w:bottom w:val="single" w:sz="8" w:space="0" w:color="000000"/>
              <w:right w:val="single" w:sz="8" w:space="0" w:color="auto"/>
            </w:tcBorders>
            <w:vAlign w:val="center"/>
            <w:hideMark/>
          </w:tcPr>
          <w:p w14:paraId="27594706" w14:textId="77777777" w:rsidR="006542BB" w:rsidRPr="00227419" w:rsidRDefault="006542BB" w:rsidP="00B62A78">
            <w:pPr>
              <w:spacing w:line="240" w:lineRule="auto"/>
              <w:rPr>
                <w:rFonts w:cs="Arial"/>
                <w:b/>
                <w:bCs/>
                <w:color w:val="000000"/>
                <w:szCs w:val="18"/>
                <w:lang w:eastAsia="es-CO"/>
              </w:rPr>
            </w:pPr>
          </w:p>
        </w:tc>
        <w:tc>
          <w:tcPr>
            <w:tcW w:w="3026" w:type="dxa"/>
            <w:tcBorders>
              <w:top w:val="nil"/>
              <w:left w:val="nil"/>
              <w:bottom w:val="nil"/>
              <w:right w:val="single" w:sz="8" w:space="0" w:color="000000"/>
            </w:tcBorders>
            <w:shd w:val="clear" w:color="auto" w:fill="auto"/>
            <w:vAlign w:val="bottom"/>
            <w:hideMark/>
          </w:tcPr>
          <w:p w14:paraId="27068BEB"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 </w:t>
            </w:r>
          </w:p>
        </w:tc>
        <w:tc>
          <w:tcPr>
            <w:tcW w:w="2992" w:type="dxa"/>
            <w:tcBorders>
              <w:top w:val="nil"/>
              <w:left w:val="nil"/>
              <w:bottom w:val="nil"/>
              <w:right w:val="single" w:sz="8" w:space="0" w:color="auto"/>
            </w:tcBorders>
            <w:shd w:val="clear" w:color="auto" w:fill="auto"/>
            <w:hideMark/>
          </w:tcPr>
          <w:p w14:paraId="41328EF0"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There is no adequate monitoring of the existing risks in the company, since there are no human resources personnel.</w:t>
            </w:r>
          </w:p>
        </w:tc>
      </w:tr>
      <w:tr w:rsidR="006542BB" w:rsidRPr="00227419" w14:paraId="46FCAD96" w14:textId="77777777" w:rsidTr="00317FB9">
        <w:trPr>
          <w:trHeight w:val="329"/>
        </w:trPr>
        <w:tc>
          <w:tcPr>
            <w:tcW w:w="2800" w:type="dxa"/>
            <w:vMerge/>
            <w:tcBorders>
              <w:top w:val="nil"/>
              <w:left w:val="single" w:sz="8" w:space="0" w:color="auto"/>
              <w:bottom w:val="single" w:sz="8" w:space="0" w:color="000000"/>
              <w:right w:val="single" w:sz="8" w:space="0" w:color="auto"/>
            </w:tcBorders>
            <w:vAlign w:val="center"/>
            <w:hideMark/>
          </w:tcPr>
          <w:p w14:paraId="2E9C9D22" w14:textId="77777777" w:rsidR="006542BB" w:rsidRPr="00227419" w:rsidRDefault="006542BB" w:rsidP="00B62A78">
            <w:pPr>
              <w:spacing w:line="240" w:lineRule="auto"/>
              <w:rPr>
                <w:rFonts w:cs="Arial"/>
                <w:b/>
                <w:bCs/>
                <w:color w:val="000000"/>
                <w:szCs w:val="18"/>
                <w:lang w:eastAsia="es-CO"/>
              </w:rPr>
            </w:pPr>
          </w:p>
        </w:tc>
        <w:tc>
          <w:tcPr>
            <w:tcW w:w="3026" w:type="dxa"/>
            <w:tcBorders>
              <w:top w:val="nil"/>
              <w:left w:val="nil"/>
              <w:bottom w:val="single" w:sz="8" w:space="0" w:color="auto"/>
              <w:right w:val="single" w:sz="8" w:space="0" w:color="000000"/>
            </w:tcBorders>
            <w:shd w:val="clear" w:color="auto" w:fill="auto"/>
            <w:vAlign w:val="bottom"/>
            <w:hideMark/>
          </w:tcPr>
          <w:p w14:paraId="4944E935"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 </w:t>
            </w:r>
          </w:p>
        </w:tc>
        <w:tc>
          <w:tcPr>
            <w:tcW w:w="2992" w:type="dxa"/>
            <w:tcBorders>
              <w:top w:val="nil"/>
              <w:left w:val="nil"/>
              <w:bottom w:val="single" w:sz="8" w:space="0" w:color="auto"/>
              <w:right w:val="single" w:sz="8" w:space="0" w:color="auto"/>
            </w:tcBorders>
            <w:shd w:val="clear" w:color="auto" w:fill="auto"/>
            <w:hideMark/>
          </w:tcPr>
          <w:p w14:paraId="73B37782" w14:textId="77777777" w:rsidR="006542BB" w:rsidRPr="00227419" w:rsidRDefault="006542BB" w:rsidP="00B62A78">
            <w:pPr>
              <w:spacing w:line="240" w:lineRule="auto"/>
              <w:rPr>
                <w:rFonts w:cs="Arial"/>
                <w:color w:val="000000"/>
                <w:szCs w:val="18"/>
                <w:lang w:val="es-CO" w:eastAsia="es-CO"/>
              </w:rPr>
            </w:pPr>
            <w:r w:rsidRPr="00227419">
              <w:rPr>
                <w:rFonts w:cs="Arial"/>
                <w:color w:val="000000"/>
                <w:szCs w:val="18"/>
                <w:lang w:eastAsia="es-CO"/>
              </w:rPr>
              <w:t xml:space="preserve">Lack of control of occupational risk factors. </w:t>
            </w:r>
            <w:proofErr w:type="spellStart"/>
            <w:r w:rsidRPr="00227419">
              <w:rPr>
                <w:rFonts w:cs="Arial"/>
                <w:color w:val="000000"/>
                <w:szCs w:val="18"/>
                <w:lang w:val="es-CO" w:eastAsia="es-CO"/>
              </w:rPr>
              <w:t>Bad</w:t>
            </w:r>
            <w:proofErr w:type="spellEnd"/>
            <w:r w:rsidRPr="00227419">
              <w:rPr>
                <w:rFonts w:cs="Arial"/>
                <w:color w:val="000000"/>
                <w:szCs w:val="18"/>
                <w:lang w:val="es-CO" w:eastAsia="es-CO"/>
              </w:rPr>
              <w:t xml:space="preserve"> </w:t>
            </w:r>
            <w:proofErr w:type="spellStart"/>
            <w:r w:rsidRPr="00227419">
              <w:rPr>
                <w:rFonts w:cs="Arial"/>
                <w:color w:val="000000"/>
                <w:szCs w:val="18"/>
                <w:lang w:val="es-CO" w:eastAsia="es-CO"/>
              </w:rPr>
              <w:t>financial</w:t>
            </w:r>
            <w:proofErr w:type="spellEnd"/>
            <w:r w:rsidRPr="00227419">
              <w:rPr>
                <w:rFonts w:cs="Arial"/>
                <w:color w:val="000000"/>
                <w:szCs w:val="18"/>
                <w:lang w:val="es-CO" w:eastAsia="es-CO"/>
              </w:rPr>
              <w:t xml:space="preserve"> </w:t>
            </w:r>
            <w:proofErr w:type="spellStart"/>
            <w:r w:rsidRPr="00227419">
              <w:rPr>
                <w:rFonts w:cs="Arial"/>
                <w:color w:val="000000"/>
                <w:szCs w:val="18"/>
                <w:lang w:val="es-CO" w:eastAsia="es-CO"/>
              </w:rPr>
              <w:t>situation</w:t>
            </w:r>
            <w:proofErr w:type="spellEnd"/>
            <w:r w:rsidRPr="00227419">
              <w:rPr>
                <w:rFonts w:cs="Arial"/>
                <w:color w:val="000000"/>
                <w:szCs w:val="18"/>
                <w:lang w:val="es-CO" w:eastAsia="es-CO"/>
              </w:rPr>
              <w:t>.</w:t>
            </w:r>
          </w:p>
        </w:tc>
      </w:tr>
      <w:tr w:rsidR="006542BB" w:rsidRPr="00227419" w14:paraId="0BF48B2B" w14:textId="77777777" w:rsidTr="00317FB9">
        <w:trPr>
          <w:trHeight w:val="225"/>
        </w:trPr>
        <w:tc>
          <w:tcPr>
            <w:tcW w:w="2800" w:type="dxa"/>
            <w:tcBorders>
              <w:top w:val="nil"/>
              <w:left w:val="single" w:sz="8" w:space="0" w:color="auto"/>
              <w:bottom w:val="single" w:sz="8" w:space="0" w:color="000000"/>
              <w:right w:val="nil"/>
            </w:tcBorders>
            <w:shd w:val="clear" w:color="000000" w:fill="E7E6E6"/>
            <w:vAlign w:val="center"/>
            <w:hideMark/>
          </w:tcPr>
          <w:p w14:paraId="669C3AF7" w14:textId="41BB074A"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OPPORTUNITIES (O)</w:t>
            </w:r>
          </w:p>
        </w:tc>
        <w:tc>
          <w:tcPr>
            <w:tcW w:w="3026" w:type="dxa"/>
            <w:tcBorders>
              <w:top w:val="nil"/>
              <w:left w:val="single" w:sz="8" w:space="0" w:color="auto"/>
              <w:bottom w:val="single" w:sz="8" w:space="0" w:color="auto"/>
              <w:right w:val="nil"/>
            </w:tcBorders>
            <w:shd w:val="clear" w:color="000000" w:fill="E7E6E6"/>
            <w:vAlign w:val="center"/>
            <w:hideMark/>
          </w:tcPr>
          <w:p w14:paraId="128F1004" w14:textId="77777777"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STRATEGIES SO</w:t>
            </w:r>
          </w:p>
        </w:tc>
        <w:tc>
          <w:tcPr>
            <w:tcW w:w="2992" w:type="dxa"/>
            <w:tcBorders>
              <w:top w:val="nil"/>
              <w:left w:val="single" w:sz="8" w:space="0" w:color="auto"/>
              <w:bottom w:val="single" w:sz="8" w:space="0" w:color="auto"/>
              <w:right w:val="single" w:sz="8" w:space="0" w:color="auto"/>
            </w:tcBorders>
            <w:shd w:val="clear" w:color="000000" w:fill="E7E6E6"/>
            <w:vAlign w:val="center"/>
            <w:hideMark/>
          </w:tcPr>
          <w:p w14:paraId="15662DB7" w14:textId="77777777"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STRATEGIES WO</w:t>
            </w:r>
          </w:p>
        </w:tc>
      </w:tr>
      <w:tr w:rsidR="006542BB" w:rsidRPr="00227419" w14:paraId="1B621063" w14:textId="77777777" w:rsidTr="00317FB9">
        <w:trPr>
          <w:trHeight w:val="549"/>
        </w:trPr>
        <w:tc>
          <w:tcPr>
            <w:tcW w:w="2800" w:type="dxa"/>
            <w:tcBorders>
              <w:top w:val="nil"/>
              <w:left w:val="single" w:sz="8" w:space="0" w:color="auto"/>
              <w:bottom w:val="nil"/>
              <w:right w:val="nil"/>
            </w:tcBorders>
            <w:shd w:val="clear" w:color="auto" w:fill="auto"/>
            <w:vAlign w:val="center"/>
            <w:hideMark/>
          </w:tcPr>
          <w:p w14:paraId="3F8BA140"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design and implementation of the management system for occupational health and safety.</w:t>
            </w:r>
          </w:p>
        </w:tc>
        <w:tc>
          <w:tcPr>
            <w:tcW w:w="3026" w:type="dxa"/>
            <w:tcBorders>
              <w:top w:val="nil"/>
              <w:left w:val="single" w:sz="8" w:space="0" w:color="000000"/>
              <w:bottom w:val="nil"/>
              <w:right w:val="single" w:sz="8" w:space="0" w:color="000000"/>
            </w:tcBorders>
            <w:shd w:val="clear" w:color="auto" w:fill="auto"/>
            <w:vAlign w:val="center"/>
            <w:hideMark/>
          </w:tcPr>
          <w:p w14:paraId="6AB5E9AA" w14:textId="7743B661"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implement effective and truthful information channels.</w:t>
            </w:r>
          </w:p>
        </w:tc>
        <w:tc>
          <w:tcPr>
            <w:tcW w:w="2992" w:type="dxa"/>
            <w:tcBorders>
              <w:top w:val="nil"/>
              <w:left w:val="nil"/>
              <w:bottom w:val="nil"/>
              <w:right w:val="single" w:sz="8" w:space="0" w:color="auto"/>
            </w:tcBorders>
            <w:shd w:val="clear" w:color="auto" w:fill="auto"/>
            <w:vAlign w:val="center"/>
            <w:hideMark/>
          </w:tcPr>
          <w:p w14:paraId="5FD221A8"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carry out workplace inspections at least once a month to keep workers informed of the risks to which they may be exposed.</w:t>
            </w:r>
          </w:p>
        </w:tc>
      </w:tr>
      <w:tr w:rsidR="006542BB" w:rsidRPr="00227419" w14:paraId="1134AF62" w14:textId="77777777" w:rsidTr="00317FB9">
        <w:trPr>
          <w:trHeight w:val="549"/>
        </w:trPr>
        <w:tc>
          <w:tcPr>
            <w:tcW w:w="2800" w:type="dxa"/>
            <w:tcBorders>
              <w:top w:val="nil"/>
              <w:left w:val="single" w:sz="8" w:space="0" w:color="auto"/>
              <w:bottom w:val="nil"/>
              <w:right w:val="nil"/>
            </w:tcBorders>
            <w:shd w:val="clear" w:color="auto" w:fill="auto"/>
            <w:vAlign w:val="center"/>
            <w:hideMark/>
          </w:tcPr>
          <w:p w14:paraId="1C1B5E17"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Easy access to information for the implementation of the occupational health and safety management system.</w:t>
            </w:r>
          </w:p>
        </w:tc>
        <w:tc>
          <w:tcPr>
            <w:tcW w:w="3026" w:type="dxa"/>
            <w:tcBorders>
              <w:top w:val="nil"/>
              <w:left w:val="single" w:sz="8" w:space="0" w:color="000000"/>
              <w:bottom w:val="nil"/>
              <w:right w:val="single" w:sz="8" w:space="0" w:color="000000"/>
            </w:tcBorders>
            <w:shd w:val="clear" w:color="auto" w:fill="auto"/>
            <w:vAlign w:val="center"/>
            <w:hideMark/>
          </w:tcPr>
          <w:p w14:paraId="60F54DB4"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carry out preventive maintenance to lathes and machines used daily by workers.</w:t>
            </w:r>
          </w:p>
        </w:tc>
        <w:tc>
          <w:tcPr>
            <w:tcW w:w="2992" w:type="dxa"/>
            <w:tcBorders>
              <w:top w:val="nil"/>
              <w:left w:val="nil"/>
              <w:bottom w:val="nil"/>
              <w:right w:val="single" w:sz="8" w:space="0" w:color="auto"/>
            </w:tcBorders>
            <w:shd w:val="clear" w:color="auto" w:fill="auto"/>
            <w:vAlign w:val="center"/>
            <w:hideMark/>
          </w:tcPr>
          <w:p w14:paraId="3DB2D8D1"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Make employees aware of the importance of the occupational health and safety management system.</w:t>
            </w:r>
          </w:p>
        </w:tc>
      </w:tr>
      <w:tr w:rsidR="006542BB" w:rsidRPr="00227419" w14:paraId="181443FC" w14:textId="77777777" w:rsidTr="00317FB9">
        <w:trPr>
          <w:trHeight w:val="549"/>
        </w:trPr>
        <w:tc>
          <w:tcPr>
            <w:tcW w:w="2800" w:type="dxa"/>
            <w:tcBorders>
              <w:top w:val="nil"/>
              <w:left w:val="single" w:sz="8" w:space="0" w:color="auto"/>
              <w:bottom w:val="nil"/>
              <w:right w:val="nil"/>
            </w:tcBorders>
            <w:shd w:val="clear" w:color="auto" w:fill="auto"/>
            <w:vAlign w:val="center"/>
            <w:hideMark/>
          </w:tcPr>
          <w:p w14:paraId="2D38F3D5"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The company is on time to improve the safety and health of its workers, and thus reduce costs and gain greater competitiveness.</w:t>
            </w:r>
          </w:p>
        </w:tc>
        <w:tc>
          <w:tcPr>
            <w:tcW w:w="3026" w:type="dxa"/>
            <w:tcBorders>
              <w:top w:val="nil"/>
              <w:left w:val="single" w:sz="8" w:space="0" w:color="000000"/>
              <w:bottom w:val="nil"/>
              <w:right w:val="single" w:sz="8" w:space="0" w:color="000000"/>
            </w:tcBorders>
            <w:shd w:val="clear" w:color="auto" w:fill="auto"/>
            <w:vAlign w:val="center"/>
            <w:hideMark/>
          </w:tcPr>
          <w:p w14:paraId="7CEEF2D0"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verify that the safety equipment used by the workers is in optimal conditions for its use and protection.</w:t>
            </w:r>
          </w:p>
        </w:tc>
        <w:tc>
          <w:tcPr>
            <w:tcW w:w="2992" w:type="dxa"/>
            <w:tcBorders>
              <w:top w:val="nil"/>
              <w:left w:val="nil"/>
              <w:bottom w:val="nil"/>
              <w:right w:val="single" w:sz="8" w:space="0" w:color="auto"/>
            </w:tcBorders>
            <w:shd w:val="clear" w:color="auto" w:fill="auto"/>
            <w:vAlign w:val="center"/>
            <w:hideMark/>
          </w:tcPr>
          <w:p w14:paraId="75E61DDB"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start a training program related to safety and health at work.</w:t>
            </w:r>
          </w:p>
        </w:tc>
      </w:tr>
      <w:tr w:rsidR="006542BB" w:rsidRPr="00227419" w14:paraId="1FA36CED" w14:textId="77777777" w:rsidTr="00317FB9">
        <w:trPr>
          <w:trHeight w:val="549"/>
        </w:trPr>
        <w:tc>
          <w:tcPr>
            <w:tcW w:w="2800" w:type="dxa"/>
            <w:tcBorders>
              <w:top w:val="nil"/>
              <w:left w:val="single" w:sz="8" w:space="0" w:color="auto"/>
              <w:bottom w:val="nil"/>
              <w:right w:val="nil"/>
            </w:tcBorders>
            <w:shd w:val="clear" w:color="auto" w:fill="auto"/>
            <w:vAlign w:val="center"/>
            <w:hideMark/>
          </w:tcPr>
          <w:p w14:paraId="5C80E3E6"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Continuous improvement of the system once it is implemented. Provide quality of working life to company workers.</w:t>
            </w:r>
          </w:p>
        </w:tc>
        <w:tc>
          <w:tcPr>
            <w:tcW w:w="3026" w:type="dxa"/>
            <w:tcBorders>
              <w:top w:val="nil"/>
              <w:left w:val="single" w:sz="8" w:space="0" w:color="000000"/>
              <w:bottom w:val="nil"/>
              <w:right w:val="single" w:sz="8" w:space="0" w:color="000000"/>
            </w:tcBorders>
            <w:shd w:val="clear" w:color="auto" w:fill="auto"/>
            <w:vAlign w:val="center"/>
            <w:hideMark/>
          </w:tcPr>
          <w:p w14:paraId="57B3E816"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provide elements that can be helpful when taking active breaks such as stress balls.</w:t>
            </w:r>
          </w:p>
        </w:tc>
        <w:tc>
          <w:tcPr>
            <w:tcW w:w="2992" w:type="dxa"/>
            <w:tcBorders>
              <w:top w:val="nil"/>
              <w:left w:val="nil"/>
              <w:bottom w:val="nil"/>
              <w:right w:val="single" w:sz="8" w:space="0" w:color="auto"/>
            </w:tcBorders>
            <w:shd w:val="clear" w:color="auto" w:fill="auto"/>
            <w:vAlign w:val="center"/>
            <w:hideMark/>
          </w:tcPr>
          <w:p w14:paraId="2BDB85A9"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choose the occupational health and safety watch.</w:t>
            </w:r>
          </w:p>
        </w:tc>
      </w:tr>
      <w:tr w:rsidR="006542BB" w:rsidRPr="00227419" w14:paraId="46F62B72" w14:textId="77777777" w:rsidTr="00317FB9">
        <w:trPr>
          <w:trHeight w:val="538"/>
        </w:trPr>
        <w:tc>
          <w:tcPr>
            <w:tcW w:w="2800" w:type="dxa"/>
            <w:tcBorders>
              <w:top w:val="nil"/>
              <w:left w:val="single" w:sz="8" w:space="0" w:color="auto"/>
              <w:bottom w:val="single" w:sz="8" w:space="0" w:color="auto"/>
              <w:right w:val="nil"/>
            </w:tcBorders>
            <w:shd w:val="clear" w:color="auto" w:fill="auto"/>
            <w:vAlign w:val="center"/>
            <w:hideMark/>
          </w:tcPr>
          <w:p w14:paraId="5B969357"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implement programs that encourage self-care with the help of the Occupational Risk Insurer.</w:t>
            </w:r>
          </w:p>
        </w:tc>
        <w:tc>
          <w:tcPr>
            <w:tcW w:w="3026" w:type="dxa"/>
            <w:tcBorders>
              <w:top w:val="nil"/>
              <w:left w:val="single" w:sz="8" w:space="0" w:color="000000"/>
              <w:bottom w:val="nil"/>
              <w:right w:val="single" w:sz="8" w:space="0" w:color="000000"/>
            </w:tcBorders>
            <w:shd w:val="clear" w:color="auto" w:fill="auto"/>
            <w:vAlign w:val="center"/>
            <w:hideMark/>
          </w:tcPr>
          <w:p w14:paraId="3A9F693E"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provide training on safety and health at work.</w:t>
            </w:r>
          </w:p>
        </w:tc>
        <w:tc>
          <w:tcPr>
            <w:tcW w:w="2992" w:type="dxa"/>
            <w:tcBorders>
              <w:top w:val="nil"/>
              <w:left w:val="nil"/>
              <w:bottom w:val="nil"/>
              <w:right w:val="single" w:sz="8" w:space="0" w:color="auto"/>
            </w:tcBorders>
            <w:shd w:val="clear" w:color="auto" w:fill="auto"/>
            <w:vAlign w:val="center"/>
            <w:hideMark/>
          </w:tcPr>
          <w:p w14:paraId="109533F0"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Review plan by the watchman that the regulations are being complied with and also the constant and adequate use of PPE.</w:t>
            </w:r>
          </w:p>
        </w:tc>
      </w:tr>
      <w:tr w:rsidR="006542BB" w:rsidRPr="00227419" w14:paraId="716E2CAC" w14:textId="77777777" w:rsidTr="00317FB9">
        <w:trPr>
          <w:trHeight w:val="225"/>
        </w:trPr>
        <w:tc>
          <w:tcPr>
            <w:tcW w:w="2800" w:type="dxa"/>
            <w:tcBorders>
              <w:top w:val="nil"/>
              <w:left w:val="single" w:sz="8" w:space="0" w:color="auto"/>
              <w:bottom w:val="single" w:sz="8" w:space="0" w:color="000000"/>
              <w:right w:val="single" w:sz="8" w:space="0" w:color="auto"/>
            </w:tcBorders>
            <w:shd w:val="clear" w:color="000000" w:fill="E7E6E6"/>
            <w:vAlign w:val="center"/>
            <w:hideMark/>
          </w:tcPr>
          <w:p w14:paraId="6CED8329" w14:textId="77777777"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THREATS</w:t>
            </w:r>
          </w:p>
        </w:tc>
        <w:tc>
          <w:tcPr>
            <w:tcW w:w="3026" w:type="dxa"/>
            <w:tcBorders>
              <w:top w:val="single" w:sz="8" w:space="0" w:color="auto"/>
              <w:left w:val="nil"/>
              <w:bottom w:val="single" w:sz="8" w:space="0" w:color="auto"/>
              <w:right w:val="single" w:sz="8" w:space="0" w:color="000000"/>
            </w:tcBorders>
            <w:shd w:val="clear" w:color="000000" w:fill="E7E6E6"/>
            <w:vAlign w:val="bottom"/>
            <w:hideMark/>
          </w:tcPr>
          <w:p w14:paraId="6ECDB86C" w14:textId="77777777"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STRATEGIES ST</w:t>
            </w:r>
          </w:p>
        </w:tc>
        <w:tc>
          <w:tcPr>
            <w:tcW w:w="2992" w:type="dxa"/>
            <w:tcBorders>
              <w:top w:val="single" w:sz="8" w:space="0" w:color="auto"/>
              <w:left w:val="nil"/>
              <w:bottom w:val="single" w:sz="8" w:space="0" w:color="auto"/>
              <w:right w:val="single" w:sz="8" w:space="0" w:color="auto"/>
            </w:tcBorders>
            <w:shd w:val="clear" w:color="000000" w:fill="E7E6E6"/>
            <w:vAlign w:val="bottom"/>
            <w:hideMark/>
          </w:tcPr>
          <w:p w14:paraId="6529033D" w14:textId="77777777" w:rsidR="006542BB" w:rsidRPr="00227419" w:rsidRDefault="006542BB" w:rsidP="00B62A78">
            <w:pPr>
              <w:spacing w:line="240" w:lineRule="auto"/>
              <w:jc w:val="center"/>
              <w:rPr>
                <w:rFonts w:cs="Arial"/>
                <w:b/>
                <w:bCs/>
                <w:color w:val="000000"/>
                <w:szCs w:val="18"/>
                <w:lang w:val="es-CO" w:eastAsia="es-CO"/>
              </w:rPr>
            </w:pPr>
            <w:r w:rsidRPr="00227419">
              <w:rPr>
                <w:rFonts w:cs="Arial"/>
                <w:b/>
                <w:bCs/>
                <w:color w:val="000000"/>
                <w:szCs w:val="18"/>
                <w:lang w:val="es-CO" w:eastAsia="es-CO"/>
              </w:rPr>
              <w:t>STRATEGIES WT</w:t>
            </w:r>
          </w:p>
        </w:tc>
      </w:tr>
      <w:tr w:rsidR="006542BB" w:rsidRPr="00227419" w14:paraId="30BD203C" w14:textId="77777777" w:rsidTr="00317FB9">
        <w:trPr>
          <w:trHeight w:val="366"/>
        </w:trPr>
        <w:tc>
          <w:tcPr>
            <w:tcW w:w="2800" w:type="dxa"/>
            <w:tcBorders>
              <w:top w:val="nil"/>
              <w:left w:val="single" w:sz="8" w:space="0" w:color="auto"/>
              <w:bottom w:val="nil"/>
              <w:right w:val="single" w:sz="8" w:space="0" w:color="auto"/>
            </w:tcBorders>
            <w:shd w:val="clear" w:color="auto" w:fill="auto"/>
            <w:vAlign w:val="center"/>
            <w:hideMark/>
          </w:tcPr>
          <w:p w14:paraId="2AB4C9CE"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Exposure of the worker to occupational hazards.</w:t>
            </w:r>
          </w:p>
        </w:tc>
        <w:tc>
          <w:tcPr>
            <w:tcW w:w="3026" w:type="dxa"/>
            <w:tcBorders>
              <w:top w:val="nil"/>
              <w:left w:val="nil"/>
              <w:bottom w:val="nil"/>
              <w:right w:val="single" w:sz="8" w:space="0" w:color="000000"/>
            </w:tcBorders>
            <w:shd w:val="clear" w:color="auto" w:fill="auto"/>
            <w:vAlign w:val="center"/>
            <w:hideMark/>
          </w:tcPr>
          <w:p w14:paraId="74AEBF78"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Design and implementation of the occupational health and safety management system.</w:t>
            </w:r>
          </w:p>
        </w:tc>
        <w:tc>
          <w:tcPr>
            <w:tcW w:w="2992" w:type="dxa"/>
            <w:tcBorders>
              <w:top w:val="nil"/>
              <w:left w:val="nil"/>
              <w:bottom w:val="nil"/>
              <w:right w:val="single" w:sz="8" w:space="0" w:color="auto"/>
            </w:tcBorders>
            <w:shd w:val="clear" w:color="auto" w:fill="auto"/>
            <w:vAlign w:val="center"/>
            <w:hideMark/>
          </w:tcPr>
          <w:p w14:paraId="6EF4646A"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design and implement an emergency plan.</w:t>
            </w:r>
          </w:p>
        </w:tc>
      </w:tr>
      <w:tr w:rsidR="006542BB" w:rsidRPr="00227419" w14:paraId="0C6120DE" w14:textId="77777777" w:rsidTr="00317FB9">
        <w:trPr>
          <w:trHeight w:val="366"/>
        </w:trPr>
        <w:tc>
          <w:tcPr>
            <w:tcW w:w="2800" w:type="dxa"/>
            <w:tcBorders>
              <w:top w:val="nil"/>
              <w:left w:val="single" w:sz="8" w:space="0" w:color="auto"/>
              <w:bottom w:val="nil"/>
              <w:right w:val="single" w:sz="8" w:space="0" w:color="auto"/>
            </w:tcBorders>
            <w:shd w:val="clear" w:color="auto" w:fill="auto"/>
            <w:vAlign w:val="center"/>
            <w:hideMark/>
          </w:tcPr>
          <w:p w14:paraId="628A5CA9"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Possible work accidents that can have a high cost for the company.</w:t>
            </w:r>
          </w:p>
        </w:tc>
        <w:tc>
          <w:tcPr>
            <w:tcW w:w="3026" w:type="dxa"/>
            <w:tcBorders>
              <w:top w:val="nil"/>
              <w:left w:val="nil"/>
              <w:bottom w:val="nil"/>
              <w:right w:val="single" w:sz="8" w:space="0" w:color="000000"/>
            </w:tcBorders>
            <w:shd w:val="clear" w:color="auto" w:fill="auto"/>
            <w:vAlign w:val="center"/>
            <w:hideMark/>
          </w:tcPr>
          <w:p w14:paraId="7111A871"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Manage hazards and risks, identifying, evaluating and seeking due control over them.</w:t>
            </w:r>
          </w:p>
        </w:tc>
        <w:tc>
          <w:tcPr>
            <w:tcW w:w="2992" w:type="dxa"/>
            <w:tcBorders>
              <w:top w:val="nil"/>
              <w:left w:val="nil"/>
              <w:bottom w:val="nil"/>
              <w:right w:val="single" w:sz="8" w:space="0" w:color="auto"/>
            </w:tcBorders>
            <w:shd w:val="clear" w:color="auto" w:fill="auto"/>
            <w:vAlign w:val="center"/>
            <w:hideMark/>
          </w:tcPr>
          <w:p w14:paraId="4D77EA37"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design methods for hazard identification and risk assessment.</w:t>
            </w:r>
          </w:p>
        </w:tc>
      </w:tr>
      <w:tr w:rsidR="006542BB" w:rsidRPr="00227419" w14:paraId="0F4CF5D5" w14:textId="77777777" w:rsidTr="00317FB9">
        <w:trPr>
          <w:trHeight w:val="345"/>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053692CF"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Fine by the entities in charge of controlling the HSMS, after carrying out the respective inspection and surveillance.</w:t>
            </w:r>
          </w:p>
        </w:tc>
        <w:tc>
          <w:tcPr>
            <w:tcW w:w="3026" w:type="dxa"/>
            <w:tcBorders>
              <w:top w:val="nil"/>
              <w:left w:val="nil"/>
              <w:bottom w:val="nil"/>
              <w:right w:val="single" w:sz="8" w:space="0" w:color="000000"/>
            </w:tcBorders>
            <w:shd w:val="clear" w:color="auto" w:fill="auto"/>
            <w:vAlign w:val="center"/>
            <w:hideMark/>
          </w:tcPr>
          <w:p w14:paraId="19AABE7B"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Take prevention and control measures.</w:t>
            </w:r>
          </w:p>
        </w:tc>
        <w:tc>
          <w:tcPr>
            <w:tcW w:w="2992" w:type="dxa"/>
            <w:tcBorders>
              <w:top w:val="nil"/>
              <w:left w:val="nil"/>
              <w:bottom w:val="nil"/>
              <w:right w:val="single" w:sz="8" w:space="0" w:color="auto"/>
            </w:tcBorders>
            <w:shd w:val="clear" w:color="auto" w:fill="auto"/>
            <w:vAlign w:val="center"/>
            <w:hideMark/>
          </w:tcPr>
          <w:p w14:paraId="465A3FC3"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train workers regarding the risks to which they are subjected on a daily basis in the area where they work.</w:t>
            </w:r>
          </w:p>
        </w:tc>
      </w:tr>
      <w:tr w:rsidR="006542BB" w:rsidRPr="00227419" w14:paraId="7F03927D" w14:textId="77777777" w:rsidTr="00317FB9">
        <w:trPr>
          <w:trHeight w:val="366"/>
        </w:trPr>
        <w:tc>
          <w:tcPr>
            <w:tcW w:w="2800" w:type="dxa"/>
            <w:vMerge/>
            <w:tcBorders>
              <w:top w:val="nil"/>
              <w:left w:val="single" w:sz="8" w:space="0" w:color="auto"/>
              <w:bottom w:val="single" w:sz="8" w:space="0" w:color="000000"/>
              <w:right w:val="single" w:sz="8" w:space="0" w:color="auto"/>
            </w:tcBorders>
            <w:vAlign w:val="center"/>
            <w:hideMark/>
          </w:tcPr>
          <w:p w14:paraId="167FA5A1" w14:textId="77777777" w:rsidR="006542BB" w:rsidRPr="00227419" w:rsidRDefault="006542BB" w:rsidP="00B62A78">
            <w:pPr>
              <w:spacing w:line="240" w:lineRule="auto"/>
              <w:rPr>
                <w:rFonts w:cs="Arial"/>
                <w:color w:val="000000"/>
                <w:szCs w:val="18"/>
                <w:lang w:eastAsia="es-CO"/>
              </w:rPr>
            </w:pPr>
          </w:p>
        </w:tc>
        <w:tc>
          <w:tcPr>
            <w:tcW w:w="3026" w:type="dxa"/>
            <w:tcBorders>
              <w:top w:val="nil"/>
              <w:left w:val="nil"/>
              <w:bottom w:val="single" w:sz="8" w:space="0" w:color="auto"/>
              <w:right w:val="single" w:sz="8" w:space="0" w:color="000000"/>
            </w:tcBorders>
            <w:shd w:val="clear" w:color="auto" w:fill="auto"/>
            <w:vAlign w:val="center"/>
            <w:hideMark/>
          </w:tcPr>
          <w:p w14:paraId="3A01BC46" w14:textId="52C8E6ED"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To take actions so that the HSMS is executed and fully comply with the requirements established in the regulations.</w:t>
            </w:r>
          </w:p>
        </w:tc>
        <w:tc>
          <w:tcPr>
            <w:tcW w:w="2992" w:type="dxa"/>
            <w:tcBorders>
              <w:top w:val="nil"/>
              <w:left w:val="nil"/>
              <w:bottom w:val="single" w:sz="8" w:space="0" w:color="auto"/>
              <w:right w:val="single" w:sz="8" w:space="0" w:color="auto"/>
            </w:tcBorders>
            <w:shd w:val="clear" w:color="auto" w:fill="auto"/>
            <w:vAlign w:val="center"/>
            <w:hideMark/>
          </w:tcPr>
          <w:p w14:paraId="6FA09867" w14:textId="77777777" w:rsidR="006542BB" w:rsidRPr="00227419" w:rsidRDefault="006542BB" w:rsidP="00B62A78">
            <w:pPr>
              <w:spacing w:line="240" w:lineRule="auto"/>
              <w:rPr>
                <w:rFonts w:cs="Arial"/>
                <w:color w:val="000000"/>
                <w:szCs w:val="18"/>
                <w:lang w:eastAsia="es-CO"/>
              </w:rPr>
            </w:pPr>
            <w:r w:rsidRPr="00227419">
              <w:rPr>
                <w:rFonts w:cs="Arial"/>
                <w:color w:val="000000"/>
                <w:szCs w:val="18"/>
                <w:lang w:eastAsia="es-CO"/>
              </w:rPr>
              <w:t> </w:t>
            </w:r>
          </w:p>
        </w:tc>
      </w:tr>
    </w:tbl>
    <w:p w14:paraId="538B3B16" w14:textId="08A42E78" w:rsidR="00317FB9" w:rsidRDefault="00317FB9" w:rsidP="00065EB2">
      <w:pPr>
        <w:pStyle w:val="CETHeading1"/>
        <w:numPr>
          <w:ilvl w:val="0"/>
          <w:numId w:val="0"/>
        </w:numPr>
        <w:spacing w:before="0" w:after="0"/>
      </w:pPr>
      <w:r w:rsidRPr="003E5C1A">
        <w:lastRenderedPageBreak/>
        <w:t xml:space="preserve">3.2 Labor risk analysis and formulation of control measures </w:t>
      </w:r>
    </w:p>
    <w:p w14:paraId="1D9772EF" w14:textId="77777777" w:rsidR="00065EB2" w:rsidRPr="00065EB2" w:rsidRDefault="00065EB2" w:rsidP="00065EB2">
      <w:pPr>
        <w:pStyle w:val="CETBodytext"/>
      </w:pPr>
    </w:p>
    <w:p w14:paraId="1F66A578" w14:textId="77777777" w:rsidR="00317FB9" w:rsidRDefault="00317FB9" w:rsidP="00065EB2">
      <w:pPr>
        <w:pStyle w:val="CETBodytext"/>
        <w:spacing w:line="240" w:lineRule="auto"/>
      </w:pPr>
      <w:r w:rsidRPr="00065EB2">
        <w:t>Using the results obtained by a risk identification and risk evaluation matrix regarding to the company's activities it was possible to establish the intervention measures to control and minimize the risk type I (non-acceptable) and II (acceptable under specific control) evaluated. With these intervention measur</w:t>
      </w:r>
      <w:r w:rsidRPr="006D1D7B">
        <w:t>es, the company can prevent incidents and labor diseases affecting the workers and the organization. Figures 1 and 2 show the graphic resume of the qualitative evaluation performed according to the CTG 45 norm and classified by productive processes and administrative procedures (Walker, D. Tait, R., 2004)</w:t>
      </w:r>
      <w:r>
        <w:t>.</w:t>
      </w:r>
    </w:p>
    <w:p w14:paraId="2539D402" w14:textId="116CADBD" w:rsidR="00EB0F09" w:rsidRDefault="00EB0F09" w:rsidP="00EB0F09">
      <w:pPr>
        <w:pStyle w:val="CETBodytext"/>
        <w:rPr>
          <w:i/>
        </w:rPr>
      </w:pPr>
    </w:p>
    <w:p w14:paraId="7D1D68BF" w14:textId="30846EA0" w:rsidR="005423DC" w:rsidRDefault="00D93F1E" w:rsidP="0096706D">
      <w:pPr>
        <w:pStyle w:val="CETBodytext"/>
        <w:jc w:val="center"/>
        <w:rPr>
          <w:i/>
        </w:rPr>
      </w:pPr>
      <w:r>
        <w:rPr>
          <w:noProof/>
        </w:rPr>
        <w:drawing>
          <wp:inline distT="0" distB="0" distL="0" distR="0" wp14:anchorId="64230DEC" wp14:editId="3825E8DB">
            <wp:extent cx="4640712" cy="3488462"/>
            <wp:effectExtent l="0" t="0" r="7620" b="17145"/>
            <wp:docPr id="1" name="Gráfico 1">
              <a:extLst xmlns:a="http://schemas.openxmlformats.org/drawingml/2006/main">
                <a:ext uri="{FF2B5EF4-FFF2-40B4-BE49-F238E27FC236}">
                  <a16:creationId xmlns:a16="http://schemas.microsoft.com/office/drawing/2014/main" id="{E321BB60-3CA5-40A4-91B0-7D94369C6A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C788D2" w14:textId="05CED223" w:rsidR="000A0CEF" w:rsidRDefault="000A0CEF" w:rsidP="004C6691">
      <w:pPr>
        <w:pStyle w:val="CETCaption"/>
        <w:spacing w:before="0" w:after="0" w:line="240" w:lineRule="auto"/>
        <w:jc w:val="center"/>
        <w:rPr>
          <w:lang w:val="en-US"/>
        </w:rPr>
      </w:pPr>
      <w:r w:rsidRPr="000A0CEF">
        <w:rPr>
          <w:lang w:val="en-US"/>
        </w:rPr>
        <w:t xml:space="preserve">Figure </w:t>
      </w:r>
      <w:r w:rsidR="0096706D">
        <w:rPr>
          <w:lang w:val="en-US"/>
        </w:rPr>
        <w:t>1</w:t>
      </w:r>
      <w:r w:rsidRPr="000A0CEF">
        <w:rPr>
          <w:lang w:val="en-US"/>
        </w:rPr>
        <w:t xml:space="preserve"> Risk Analysis in Inducast's production process using</w:t>
      </w:r>
      <w:r w:rsidR="00F86C6A">
        <w:rPr>
          <w:lang w:val="en-US"/>
        </w:rPr>
        <w:t xml:space="preserve"> </w:t>
      </w:r>
      <w:r w:rsidRPr="000A0CEF">
        <w:rPr>
          <w:lang w:val="en-US"/>
        </w:rPr>
        <w:t>C</w:t>
      </w:r>
      <w:r w:rsidR="00F86C6A">
        <w:rPr>
          <w:lang w:val="en-US"/>
        </w:rPr>
        <w:t>TG</w:t>
      </w:r>
      <w:r w:rsidRPr="000A0CEF">
        <w:rPr>
          <w:lang w:val="en-US"/>
        </w:rPr>
        <w:t xml:space="preserve"> 45</w:t>
      </w:r>
      <w:r w:rsidR="00D93F1E">
        <w:rPr>
          <w:lang w:val="en-US"/>
        </w:rPr>
        <w:t xml:space="preserve"> </w:t>
      </w:r>
      <w:r w:rsidR="00D93F1E" w:rsidRPr="00D93F1E">
        <w:rPr>
          <w:lang w:val="en-US"/>
        </w:rPr>
        <w:t>methodology</w:t>
      </w:r>
    </w:p>
    <w:p w14:paraId="49FBBDEF" w14:textId="63967BFD" w:rsidR="00C663C4" w:rsidRDefault="00C663C4" w:rsidP="004C6691">
      <w:pPr>
        <w:pStyle w:val="CETCaption"/>
        <w:spacing w:before="0" w:after="0" w:line="240" w:lineRule="auto"/>
        <w:jc w:val="center"/>
        <w:rPr>
          <w:lang w:val="en-US"/>
        </w:rPr>
      </w:pPr>
    </w:p>
    <w:p w14:paraId="1F1F8CAD" w14:textId="66DA8EE4" w:rsidR="00696E6F" w:rsidRDefault="00AC1E5C" w:rsidP="00AC1E5C">
      <w:pPr>
        <w:pStyle w:val="CETCaption"/>
        <w:spacing w:before="0" w:after="0" w:line="240" w:lineRule="auto"/>
        <w:rPr>
          <w:i w:val="0"/>
          <w:lang w:val="en-US"/>
        </w:rPr>
      </w:pPr>
      <w:r w:rsidRPr="00AC1E5C">
        <w:rPr>
          <w:i w:val="0"/>
          <w:lang w:val="en-US"/>
        </w:rPr>
        <w:t>The workers of the operative area are under exposition to continuous noise, vibrations, and inorganic dust generated by the equipment. Also, they work without enough light and contact residues, solvents from the cleaning operations, and metals. In addition, they expressed that the head of the area generates stress in labor (Zhang, et al., 2010).</w:t>
      </w:r>
    </w:p>
    <w:p w14:paraId="69A8A48E" w14:textId="77777777" w:rsidR="00AC1E5C" w:rsidRPr="005063CA" w:rsidRDefault="00AC1E5C" w:rsidP="004C6691">
      <w:pPr>
        <w:pStyle w:val="CETCaption"/>
        <w:spacing w:before="0" w:after="0" w:line="240" w:lineRule="auto"/>
        <w:jc w:val="center"/>
        <w:rPr>
          <w:lang w:val="en-US"/>
        </w:rPr>
      </w:pPr>
    </w:p>
    <w:p w14:paraId="0BB4CAD3" w14:textId="77777777" w:rsidR="004C6691" w:rsidRDefault="00D93F1E" w:rsidP="00C663C4">
      <w:pPr>
        <w:pStyle w:val="CETCaption"/>
        <w:spacing w:before="0" w:after="0" w:line="360" w:lineRule="auto"/>
        <w:jc w:val="center"/>
        <w:rPr>
          <w:lang w:val="en-US"/>
        </w:rPr>
      </w:pPr>
      <w:r>
        <w:rPr>
          <w:noProof/>
        </w:rPr>
        <w:drawing>
          <wp:inline distT="0" distB="0" distL="0" distR="0" wp14:anchorId="5DDB54B3" wp14:editId="436D83E4">
            <wp:extent cx="4492717" cy="2484208"/>
            <wp:effectExtent l="0" t="0" r="3175" b="11430"/>
            <wp:docPr id="4" name="Gráfico 4">
              <a:extLst xmlns:a="http://schemas.openxmlformats.org/drawingml/2006/main">
                <a:ext uri="{FF2B5EF4-FFF2-40B4-BE49-F238E27FC236}">
                  <a16:creationId xmlns:a16="http://schemas.microsoft.com/office/drawing/2014/main" id="{356EF6B9-A665-4E87-9209-A8478FCFC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6F6E4F" w14:textId="781CCD3E" w:rsidR="00D93F1E" w:rsidRDefault="00D93F1E" w:rsidP="00C663C4">
      <w:pPr>
        <w:pStyle w:val="CETCaption"/>
        <w:spacing w:before="0" w:after="0" w:line="360" w:lineRule="auto"/>
        <w:jc w:val="center"/>
        <w:rPr>
          <w:lang w:val="en-US"/>
        </w:rPr>
      </w:pPr>
      <w:r w:rsidRPr="000A0CEF">
        <w:rPr>
          <w:lang w:val="en-US"/>
        </w:rPr>
        <w:t xml:space="preserve">Figure </w:t>
      </w:r>
      <w:r w:rsidR="00AC4533">
        <w:rPr>
          <w:lang w:val="en-US"/>
        </w:rPr>
        <w:t>2</w:t>
      </w:r>
      <w:r w:rsidRPr="000A0CEF">
        <w:rPr>
          <w:lang w:val="en-US"/>
        </w:rPr>
        <w:t xml:space="preserve"> Risk Analysis in Inducast's </w:t>
      </w:r>
      <w:r>
        <w:rPr>
          <w:lang w:val="en-US"/>
        </w:rPr>
        <w:t>administration</w:t>
      </w:r>
      <w:r w:rsidRPr="000A0CEF">
        <w:rPr>
          <w:lang w:val="en-US"/>
        </w:rPr>
        <w:t xml:space="preserve"> process using C</w:t>
      </w:r>
      <w:r w:rsidR="00F86C6A">
        <w:rPr>
          <w:lang w:val="en-US"/>
        </w:rPr>
        <w:t>TG</w:t>
      </w:r>
      <w:r w:rsidRPr="000A0CEF">
        <w:rPr>
          <w:lang w:val="en-US"/>
        </w:rPr>
        <w:t xml:space="preserve"> 45</w:t>
      </w:r>
      <w:r>
        <w:rPr>
          <w:lang w:val="en-US"/>
        </w:rPr>
        <w:t xml:space="preserve"> </w:t>
      </w:r>
      <w:r w:rsidRPr="00D93F1E">
        <w:rPr>
          <w:lang w:val="en-US"/>
        </w:rPr>
        <w:t>methodology</w:t>
      </w:r>
    </w:p>
    <w:p w14:paraId="438595C4" w14:textId="5B698856" w:rsidR="00C4073D" w:rsidRDefault="006F242F" w:rsidP="00696E6F">
      <w:pPr>
        <w:pStyle w:val="CETBodytext"/>
      </w:pPr>
      <w:r w:rsidRPr="006F242F">
        <w:lastRenderedPageBreak/>
        <w:t xml:space="preserve">Regarding the administrative area, the light is insufficient, and there is continuous noise and expositions to organic dust. The workers in the area are in the same posture for a long time and must do repetitive movements. In addition, the activities developed by them are for decision-making and with a high load of mental activities, representing psychological risk. Once the main labor </w:t>
      </w:r>
      <w:r w:rsidRPr="00065EB2">
        <w:t xml:space="preserve">risk in </w:t>
      </w:r>
      <w:r w:rsidR="00092462" w:rsidRPr="00065EB2">
        <w:t>the company</w:t>
      </w:r>
      <w:r w:rsidRPr="00065EB2">
        <w:t xml:space="preserve"> was determined, it was possible to carry a cause-effect analysis using Ishikawa methodology.</w:t>
      </w:r>
    </w:p>
    <w:p w14:paraId="7AA02228" w14:textId="77777777" w:rsidR="00065EB2" w:rsidRPr="00C4073D" w:rsidRDefault="00065EB2" w:rsidP="00696E6F">
      <w:pPr>
        <w:pStyle w:val="CETBodytext"/>
      </w:pPr>
    </w:p>
    <w:p w14:paraId="7F81896A" w14:textId="5620FD49" w:rsidR="000F61FA" w:rsidRDefault="00BD5D9F" w:rsidP="00065EB2">
      <w:pPr>
        <w:pStyle w:val="CETHeading1"/>
        <w:numPr>
          <w:ilvl w:val="0"/>
          <w:numId w:val="0"/>
        </w:numPr>
        <w:spacing w:before="0" w:after="0"/>
      </w:pPr>
      <w:r>
        <w:t xml:space="preserve">3.3 </w:t>
      </w:r>
      <w:r w:rsidR="00441D3B" w:rsidRPr="00441D3B">
        <w:t>Analysis of the continuous improvement plan</w:t>
      </w:r>
    </w:p>
    <w:p w14:paraId="4AA1B7C7" w14:textId="77777777" w:rsidR="00065EB2" w:rsidRPr="00065EB2" w:rsidRDefault="00065EB2" w:rsidP="00065EB2">
      <w:pPr>
        <w:pStyle w:val="CETBodytext"/>
      </w:pPr>
    </w:p>
    <w:p w14:paraId="78A30DB4" w14:textId="5A6F9881" w:rsidR="00270F77" w:rsidRPr="00065EB2" w:rsidRDefault="00270F77" w:rsidP="00065EB2">
      <w:pPr>
        <w:pStyle w:val="CETBodytext"/>
        <w:spacing w:line="240" w:lineRule="auto"/>
      </w:pPr>
      <w:r w:rsidRPr="00270F77">
        <w:t xml:space="preserve">The number of items regarding the risk for safety and health care </w:t>
      </w:r>
      <w:r w:rsidR="00092462" w:rsidRPr="00065EB2">
        <w:t>in the company</w:t>
      </w:r>
      <w:r w:rsidRPr="00065EB2">
        <w:t xml:space="preserve"> found w</w:t>
      </w:r>
      <w:r w:rsidR="00D578EB" w:rsidRPr="00065EB2">
        <w:t>ere</w:t>
      </w:r>
      <w:r w:rsidRPr="00065EB2">
        <w:t xml:space="preserve"> eight: constant noise exposition, prolonged postures, physic effort, repetitive movements, cuttings, inorganic dust presence, inadequate management of the task and, stairs without maintenance. Since all these items cause damage to the health of the workers was necessary to formulate improvements for each one (Tudoran, et al., 2020) considering the 5W2H methodology.</w:t>
      </w:r>
    </w:p>
    <w:p w14:paraId="4204CBF3" w14:textId="77777777" w:rsidR="00227419" w:rsidRPr="00065EB2" w:rsidRDefault="00227419" w:rsidP="00715485">
      <w:pPr>
        <w:pStyle w:val="CETBodytext"/>
      </w:pPr>
    </w:p>
    <w:p w14:paraId="77007E09" w14:textId="4D110750" w:rsidR="00542C47" w:rsidRPr="00065EB2" w:rsidRDefault="009C4C42" w:rsidP="00715485">
      <w:pPr>
        <w:pStyle w:val="CETBodytext"/>
      </w:pPr>
      <w:r w:rsidRPr="00065EB2">
        <w:t>The production area is higher risk because the main items are related to the machinery used in the manufacturing processes: manual lathe, CNC lathe, cutter, etc. Using these types of equipment produces discomfort to the workers that can cause diseases in the long term if there is no control in the operational activities. For the item of constant noise, the development of an auditive program where the employers receive capacitation to create conscience about the risk and how to prevent it. In the case of prologued posture at the operative area, the solution proposed is the creation of programs for wellness and active pauses for the management, measure, and control of the risk associated with this item.</w:t>
      </w:r>
    </w:p>
    <w:p w14:paraId="21526055" w14:textId="77777777" w:rsidR="00227419" w:rsidRPr="00065EB2" w:rsidRDefault="00227419" w:rsidP="00715485">
      <w:pPr>
        <w:pStyle w:val="CETBodytext"/>
      </w:pPr>
    </w:p>
    <w:p w14:paraId="4BC91CFE" w14:textId="6FF7A3A7" w:rsidR="00E83E8E" w:rsidRDefault="00E83E8E" w:rsidP="00E83E8E">
      <w:pPr>
        <w:pStyle w:val="CETBodytext"/>
      </w:pPr>
      <w:r w:rsidRPr="00065EB2">
        <w:t xml:space="preserve">In the production area, the workers require to make physical efforts to manage the raw materials and products. To do this movement, it is necessary that workers conserve a good posture and that they have the equipment required to do these operations. The production </w:t>
      </w:r>
      <w:r w:rsidR="00092462" w:rsidRPr="00065EB2">
        <w:t>in the company</w:t>
      </w:r>
      <w:r w:rsidRPr="00065EB2">
        <w:t xml:space="preserve"> is continuous</w:t>
      </w:r>
      <w:r>
        <w:t>, so the procedures to elaborate the different pieces are almost the same, and the workers must do repetitive movements that generate pain, diseases, and some accidents. To decrease the risk level, the company must reserve enough space and pause active programs to reduce the health issues.</w:t>
      </w:r>
    </w:p>
    <w:p w14:paraId="545D468A" w14:textId="77777777" w:rsidR="00227419" w:rsidRDefault="00227419" w:rsidP="00E83E8E">
      <w:pPr>
        <w:pStyle w:val="CETBodytext"/>
      </w:pPr>
    </w:p>
    <w:p w14:paraId="5ABB1B18" w14:textId="196808DB" w:rsidR="003E665B" w:rsidRDefault="003E665B" w:rsidP="003E665B">
      <w:pPr>
        <w:pStyle w:val="CETBodytext"/>
      </w:pPr>
      <w:r>
        <w:t xml:space="preserve">The machines and tools used by the workers can be dangerous if safety measures are not considered and workers do not use the protection elements needed. To avoid cuttings and hits is mandatory to give workers all the tools needed. Due to the type of operations developed in the company, the production area generates inorganic dust that affects workers' health. To reduce this risk, the company organizes informative talks to teach all the people how they can avoid the exposition and the importance of using masks to prevent diseases. The stairs located in the company's production area are not in good condition, so in the action plan, the suggestion to repair it was included. </w:t>
      </w:r>
    </w:p>
    <w:p w14:paraId="4728828A" w14:textId="77777777" w:rsidR="00227419" w:rsidRDefault="00227419" w:rsidP="003E665B">
      <w:pPr>
        <w:pStyle w:val="CETBodytext"/>
      </w:pPr>
    </w:p>
    <w:p w14:paraId="3E9CB96B" w14:textId="5500A1F1" w:rsidR="0088678D" w:rsidRDefault="005D5149" w:rsidP="003E665B">
      <w:pPr>
        <w:pStyle w:val="CETBodytext"/>
      </w:pPr>
      <w:r w:rsidRPr="00065EB2">
        <w:t xml:space="preserve">The company </w:t>
      </w:r>
      <w:r w:rsidR="003E665B" w:rsidRPr="00065EB2">
        <w:t>is looking to have a safe and healthy environment for the workers and better work wellness for operative and</w:t>
      </w:r>
      <w:r w:rsidR="003E665B">
        <w:t xml:space="preserve"> administrative. That is why they have the compromise to do all the necessary stuff to solve all the items identified following educational programs and the continuous improving thinking.</w:t>
      </w:r>
    </w:p>
    <w:p w14:paraId="14518B05" w14:textId="77777777" w:rsidR="00065EB2" w:rsidRPr="00E73CF5" w:rsidRDefault="00065EB2" w:rsidP="003E665B">
      <w:pPr>
        <w:pStyle w:val="CETBodytext"/>
      </w:pPr>
    </w:p>
    <w:p w14:paraId="2C94377E" w14:textId="39143A77" w:rsidR="00DC44B5" w:rsidRDefault="00DC44B5" w:rsidP="00065EB2">
      <w:pPr>
        <w:pStyle w:val="CETHeading1"/>
        <w:spacing w:before="0" w:after="0"/>
      </w:pPr>
      <w:r>
        <w:t>Conclusions</w:t>
      </w:r>
    </w:p>
    <w:p w14:paraId="5813B3A8" w14:textId="77777777" w:rsidR="00065EB2" w:rsidRPr="00065EB2" w:rsidRDefault="00065EB2" w:rsidP="00065EB2">
      <w:pPr>
        <w:pStyle w:val="CETBodytext"/>
      </w:pPr>
      <w:bookmarkStart w:id="0" w:name="_GoBack"/>
      <w:bookmarkEnd w:id="0"/>
    </w:p>
    <w:p w14:paraId="596ECD8F" w14:textId="77777777" w:rsidR="000C4802" w:rsidRDefault="000C4802" w:rsidP="00065EB2">
      <w:pPr>
        <w:pStyle w:val="CETBodytext"/>
        <w:spacing w:line="240" w:lineRule="auto"/>
      </w:pPr>
      <w:r>
        <w:t xml:space="preserve">The study used different tools and techniques to identify, solve and monitor the health, risk, and safety issues in a company in the metal-mechanical sector. The results of the risk panorama elaborated using the CTG 45 methodology, the </w:t>
      </w:r>
      <w:proofErr w:type="spellStart"/>
      <w:r>
        <w:t>Ikishawa</w:t>
      </w:r>
      <w:proofErr w:type="spellEnd"/>
      <w:r>
        <w:t xml:space="preserve"> diagrams, and the 5W2H analysis helps us to conclude that the health risk is less acceptable and the ones that generate severe health and safety risks are the ones related to continuous noise exposition (by the machinery employed in the production area). This situation is due to the lack of a preventive maintenance program and the raw materials used in the production process like metals that need machinery highly dangerous and with a high probability of generating cuts in arms and legs. </w:t>
      </w:r>
    </w:p>
    <w:p w14:paraId="0AD0BBB2" w14:textId="77777777" w:rsidR="000C4802" w:rsidRDefault="000C4802" w:rsidP="000C4802">
      <w:pPr>
        <w:pStyle w:val="CETBodytext"/>
      </w:pPr>
      <w:r>
        <w:t xml:space="preserve"> </w:t>
      </w:r>
    </w:p>
    <w:p w14:paraId="04BD5FDA" w14:textId="77777777" w:rsidR="000C4802" w:rsidRDefault="000C4802" w:rsidP="000C4802">
      <w:pPr>
        <w:pStyle w:val="CETBodytext"/>
      </w:pPr>
      <w:r>
        <w:t xml:space="preserve">Furthermore, the risk of losing an arm or a leg is high due to the direct contact with the residual streams like shavings. The programs developed are epidemiologic care, hearing loss, active pauses, solid management, stress management, protection elements, wellness, personal care, prevention of accidents and incidents, procedures, formats, and instructions for health, risk, and health. All the documents consider the activities developed in the company to demonstrate the existence of HSMS and the accomplishment of law requirements.  </w:t>
      </w:r>
    </w:p>
    <w:p w14:paraId="17A86C6C" w14:textId="6C4B4D58" w:rsidR="00A550A1" w:rsidRDefault="000C4802" w:rsidP="008160FC">
      <w:pPr>
        <w:pStyle w:val="CETBodytext"/>
      </w:pPr>
      <w:r>
        <w:t xml:space="preserve">Finally, for the company, it is essential to give a safe and healthy work environment, and because of that, it is committed to implementing the operative and administrative changes included in the continuous improvement plan developed. The plan contains the measures, reduction, and following steps of the issues found. </w:t>
      </w:r>
    </w:p>
    <w:p w14:paraId="1FE309B4" w14:textId="77777777" w:rsidR="00065EB2" w:rsidRPr="00A550A1" w:rsidRDefault="00065EB2" w:rsidP="008160FC">
      <w:pPr>
        <w:pStyle w:val="CETBodytext"/>
      </w:pPr>
    </w:p>
    <w:p w14:paraId="50A75B43" w14:textId="267CC9E5" w:rsidR="00FF157E" w:rsidRPr="0051595C" w:rsidRDefault="00FF157E" w:rsidP="00F46E96">
      <w:pPr>
        <w:pStyle w:val="CETheadingx"/>
        <w:rPr>
          <w:lang w:val="en-US"/>
        </w:rPr>
      </w:pPr>
      <w:r w:rsidRPr="0051595C">
        <w:rPr>
          <w:rFonts w:eastAsiaTheme="minorHAnsi"/>
          <w:lang w:val="en-US"/>
        </w:rPr>
        <w:lastRenderedPageBreak/>
        <w:t>Acknowledgments</w:t>
      </w:r>
      <w:r w:rsidRPr="0051595C">
        <w:rPr>
          <w:lang w:val="en-US"/>
        </w:rPr>
        <w:t xml:space="preserve"> </w:t>
      </w:r>
    </w:p>
    <w:p w14:paraId="7650C49A" w14:textId="66D91353" w:rsidR="00FB0485" w:rsidRDefault="00FB0485" w:rsidP="00543358">
      <w:pPr>
        <w:pStyle w:val="CETBodytext"/>
      </w:pPr>
      <w:r w:rsidRPr="00FB0485">
        <w:t>Authors acknowledge to managers and employees of the metal-mechanical company in this study.</w:t>
      </w:r>
    </w:p>
    <w:p w14:paraId="30C754A9" w14:textId="77777777" w:rsidR="00065EB2" w:rsidRDefault="00065EB2" w:rsidP="00543358">
      <w:pPr>
        <w:pStyle w:val="CETBodytext"/>
        <w:rPr>
          <w:highlight w:val="green"/>
        </w:rPr>
      </w:pPr>
    </w:p>
    <w:p w14:paraId="27F114AA" w14:textId="5463CA37" w:rsidR="004D55C0" w:rsidRDefault="004D55C0" w:rsidP="00065EB2">
      <w:pPr>
        <w:pStyle w:val="CETHeading1"/>
        <w:spacing w:before="0" w:after="0"/>
      </w:pPr>
      <w:r w:rsidRPr="001B72B9">
        <w:t>References</w:t>
      </w:r>
    </w:p>
    <w:p w14:paraId="742F7768" w14:textId="10EA81A2" w:rsidR="000F14CC" w:rsidRDefault="000F14CC" w:rsidP="00065EB2">
      <w:pPr>
        <w:pStyle w:val="CETReferencetext"/>
        <w:spacing w:line="240" w:lineRule="auto"/>
        <w:rPr>
          <w:lang w:val="es-CO"/>
        </w:rPr>
      </w:pPr>
      <w:r w:rsidRPr="009C23D6">
        <w:rPr>
          <w:lang w:val="es-CO"/>
        </w:rPr>
        <w:t>Arellano D</w:t>
      </w:r>
      <w:r w:rsidR="00227419">
        <w:rPr>
          <w:lang w:val="es-CO"/>
        </w:rPr>
        <w:t>.</w:t>
      </w:r>
      <w:r w:rsidRPr="009C23D6">
        <w:rPr>
          <w:lang w:val="es-CO"/>
        </w:rPr>
        <w:t>J.</w:t>
      </w:r>
      <w:r w:rsidR="00227419">
        <w:rPr>
          <w:lang w:val="es-CO"/>
        </w:rPr>
        <w:t>,</w:t>
      </w:r>
      <w:r w:rsidRPr="009C23D6">
        <w:rPr>
          <w:lang w:val="es-CO"/>
        </w:rPr>
        <w:t xml:space="preserve"> Rodríguez C</w:t>
      </w:r>
      <w:r w:rsidR="00227419">
        <w:rPr>
          <w:lang w:val="es-CO"/>
        </w:rPr>
        <w:t>.</w:t>
      </w:r>
      <w:r w:rsidRPr="009C23D6">
        <w:rPr>
          <w:lang w:val="es-CO"/>
        </w:rPr>
        <w:t xml:space="preserve"> R., 2013, Salud en el trabajo y seguridad industrial, Alfaomega</w:t>
      </w:r>
      <w:r w:rsidR="00ED3A81" w:rsidRPr="009C23D6">
        <w:rPr>
          <w:lang w:val="es-CO"/>
        </w:rPr>
        <w:t>.</w:t>
      </w:r>
    </w:p>
    <w:p w14:paraId="484542B4" w14:textId="0C02C82A" w:rsidR="00D94E39" w:rsidRPr="00D94E39" w:rsidRDefault="00D94E39" w:rsidP="00065EB2">
      <w:pPr>
        <w:pStyle w:val="CETReferencetext"/>
        <w:spacing w:line="240" w:lineRule="auto"/>
        <w:rPr>
          <w:b/>
          <w:bCs/>
          <w:lang w:val="en-US"/>
        </w:rPr>
      </w:pPr>
      <w:bookmarkStart w:id="1" w:name="bau0006"/>
      <w:proofErr w:type="spellStart"/>
      <w:r w:rsidRPr="00D94E39">
        <w:rPr>
          <w:lang w:val="en-US"/>
        </w:rPr>
        <w:t>Çalış</w:t>
      </w:r>
      <w:proofErr w:type="spellEnd"/>
      <w:r w:rsidRPr="00D94E39">
        <w:rPr>
          <w:lang w:val="en-US"/>
        </w:rPr>
        <w:t xml:space="preserve"> S</w:t>
      </w:r>
      <w:bookmarkStart w:id="2" w:name="bau0007"/>
      <w:bookmarkEnd w:id="1"/>
      <w:r w:rsidRPr="00D94E39">
        <w:rPr>
          <w:lang w:val="en-US"/>
        </w:rPr>
        <w:t xml:space="preserve">., </w:t>
      </w:r>
      <w:hyperlink r:id="rId14" w:anchor="!" w:history="1">
        <w:proofErr w:type="spellStart"/>
        <w:r w:rsidRPr="00D94E39">
          <w:rPr>
            <w:lang w:val="en-US"/>
          </w:rPr>
          <w:t>Büyükakıncı</w:t>
        </w:r>
        <w:proofErr w:type="spellEnd"/>
      </w:hyperlink>
      <w:bookmarkEnd w:id="2"/>
      <w:r w:rsidRPr="00D94E39">
        <w:rPr>
          <w:lang w:val="en-US"/>
        </w:rPr>
        <w:t xml:space="preserve"> B., 2019, </w:t>
      </w:r>
      <w:r w:rsidR="00481B05" w:rsidRPr="00D94E39">
        <w:rPr>
          <w:lang w:val="en-US"/>
        </w:rPr>
        <w:t>Occupational Health and Safety Management Systems Applications and A System Planning Model</w:t>
      </w:r>
      <w:r>
        <w:rPr>
          <w:lang w:val="en-US"/>
        </w:rPr>
        <w:t xml:space="preserve">, </w:t>
      </w:r>
      <w:hyperlink r:id="rId15" w:tooltip="Go to Procedia Computer Science on ScienceDirect" w:history="1">
        <w:r w:rsidRPr="00D94E39">
          <w:rPr>
            <w:lang w:val="en-US"/>
          </w:rPr>
          <w:t>Procedia Computer Science</w:t>
        </w:r>
      </w:hyperlink>
      <w:r>
        <w:rPr>
          <w:lang w:val="en-US"/>
        </w:rPr>
        <w:t>, 158,1058-1066</w:t>
      </w:r>
    </w:p>
    <w:p w14:paraId="5CFCCB3A" w14:textId="4B9D785A" w:rsidR="00ED3A81" w:rsidRDefault="00ED3A81" w:rsidP="00D229BA">
      <w:pPr>
        <w:pStyle w:val="CETReferencetext"/>
      </w:pPr>
      <w:r w:rsidRPr="00D229BA">
        <w:t>Cruz I.</w:t>
      </w:r>
      <w:r w:rsidR="00227419">
        <w:t>,</w:t>
      </w:r>
      <w:r w:rsidRPr="00D229BA">
        <w:t xml:space="preserve"> Mercado R</w:t>
      </w:r>
      <w:r w:rsidR="00227419">
        <w:t>.</w:t>
      </w:r>
      <w:r w:rsidRPr="00D229BA">
        <w:t>, 2015, Occupational Safety and Health in Peru, Annals of Global Health, 81, 4, 568-575</w:t>
      </w:r>
      <w:r w:rsidR="00CB50C6">
        <w:t>.</w:t>
      </w:r>
    </w:p>
    <w:p w14:paraId="1F150D97" w14:textId="58C51803" w:rsidR="00ED3A81" w:rsidRDefault="00ED3A81" w:rsidP="00D229BA">
      <w:pPr>
        <w:pStyle w:val="CETReferencetext"/>
      </w:pPr>
      <w:proofErr w:type="spellStart"/>
      <w:r w:rsidRPr="00D229BA">
        <w:t>Delvika</w:t>
      </w:r>
      <w:proofErr w:type="spellEnd"/>
      <w:r w:rsidRPr="00D229BA">
        <w:t xml:space="preserve"> J.</w:t>
      </w:r>
      <w:r w:rsidR="00227419">
        <w:t xml:space="preserve">, </w:t>
      </w:r>
      <w:r w:rsidRPr="00D229BA">
        <w:t>Mustafa K., 2019, Evaluate the Implementation of Occupational Health and Safety (OHS) Management System Performance Measurement at PT. XYZ Medan to minimize Extreme Risks, IOP Conf. Series: Materials Science and Engineering</w:t>
      </w:r>
      <w:r w:rsidR="00543358">
        <w:t>,</w:t>
      </w:r>
      <w:r w:rsidRPr="00D229BA">
        <w:t xml:space="preserve"> 505</w:t>
      </w:r>
      <w:r w:rsidR="00CB50C6">
        <w:t>.</w:t>
      </w:r>
    </w:p>
    <w:p w14:paraId="14C1E9A0" w14:textId="639A2D67" w:rsidR="00011B55" w:rsidRPr="00543358" w:rsidRDefault="00011B55" w:rsidP="00D229BA">
      <w:pPr>
        <w:pStyle w:val="CETReferencetext"/>
      </w:pPr>
      <w:proofErr w:type="spellStart"/>
      <w:r>
        <w:t>Górny</w:t>
      </w:r>
      <w:proofErr w:type="spellEnd"/>
      <w:r>
        <w:t xml:space="preserve"> </w:t>
      </w:r>
      <w:r w:rsidR="001853FD">
        <w:t xml:space="preserve">A., 2020, </w:t>
      </w:r>
      <w:r w:rsidR="001853FD" w:rsidRPr="001853FD">
        <w:t>Guidelines for the Use of Quality Engineering Tools to Improve Occupational Safety. The Case of Polish Construction Companies</w:t>
      </w:r>
      <w:r w:rsidR="001853FD">
        <w:t xml:space="preserve">, </w:t>
      </w:r>
      <w:r w:rsidR="001853FD" w:rsidRPr="00CB50C6">
        <w:t xml:space="preserve">Occupational and </w:t>
      </w:r>
      <w:proofErr w:type="spellStart"/>
      <w:r w:rsidR="001853FD" w:rsidRPr="00CB50C6">
        <w:t>Enviromental</w:t>
      </w:r>
      <w:proofErr w:type="spellEnd"/>
      <w:r w:rsidR="001853FD" w:rsidRPr="00CB50C6">
        <w:t xml:space="preserve"> Safety and Heald II, </w:t>
      </w:r>
      <w:r w:rsidR="00543358" w:rsidRPr="00543358">
        <w:t>277, 31-39</w:t>
      </w:r>
    </w:p>
    <w:p w14:paraId="5C04C871" w14:textId="1BDFAD85" w:rsidR="000F14CC" w:rsidRDefault="000F14CC" w:rsidP="00D229BA">
      <w:pPr>
        <w:pStyle w:val="CETReferencetext"/>
      </w:pPr>
      <w:r w:rsidRPr="00D229BA">
        <w:t xml:space="preserve">Gracia J., Lara L., Quintero P., Santis A., 2018, Formulation of Strategies for the Implementation of Integral Management System Based on ISO 9001:2015 and 14001:2015 in the Company </w:t>
      </w:r>
      <w:proofErr w:type="spellStart"/>
      <w:r w:rsidRPr="00D229BA">
        <w:t>Surtiapliques</w:t>
      </w:r>
      <w:proofErr w:type="spellEnd"/>
      <w:r w:rsidRPr="00D229BA">
        <w:t xml:space="preserve"> (Bogotá-Colombia), Chemical Engineering Transactions, 67, 559-564.</w:t>
      </w:r>
    </w:p>
    <w:bookmarkStart w:id="3" w:name="bau005"/>
    <w:p w14:paraId="32072D51" w14:textId="51AAE185" w:rsidR="00D94E39" w:rsidRPr="00D94E39" w:rsidRDefault="00D94E39" w:rsidP="00D94E39">
      <w:pPr>
        <w:pStyle w:val="CETReferencetext"/>
      </w:pPr>
      <w:r w:rsidRPr="00D94E39">
        <w:fldChar w:fldCharType="begin"/>
      </w:r>
      <w:r w:rsidRPr="00D94E39">
        <w:instrText xml:space="preserve"> HYPERLINK "https://www-sciencedirect-com.crai-ustadigital.usantotomas.edu.co/science/article/pii/S092575352200011X" \l "!" </w:instrText>
      </w:r>
      <w:r w:rsidRPr="00D94E39">
        <w:fldChar w:fldCharType="separate"/>
      </w:r>
      <w:proofErr w:type="spellStart"/>
      <w:r w:rsidRPr="00D94E39">
        <w:t>Karanikas</w:t>
      </w:r>
      <w:proofErr w:type="spellEnd"/>
      <w:r w:rsidRPr="00D94E39">
        <w:fldChar w:fldCharType="end"/>
      </w:r>
      <w:bookmarkStart w:id="4" w:name="bau010"/>
      <w:bookmarkEnd w:id="3"/>
      <w:r>
        <w:t xml:space="preserve"> N., </w:t>
      </w:r>
      <w:hyperlink r:id="rId16" w:anchor="!" w:history="1">
        <w:r w:rsidRPr="00D94E39">
          <w:t>Weber</w:t>
        </w:r>
      </w:hyperlink>
      <w:bookmarkStart w:id="5" w:name="bau015"/>
      <w:bookmarkEnd w:id="4"/>
      <w:r>
        <w:t xml:space="preserve"> D., </w:t>
      </w:r>
      <w:hyperlink r:id="rId17" w:anchor="!" w:history="1">
        <w:r w:rsidRPr="00D94E39">
          <w:t>Bruschi</w:t>
        </w:r>
      </w:hyperlink>
      <w:bookmarkStart w:id="6" w:name="bau020"/>
      <w:bookmarkEnd w:id="5"/>
      <w:r>
        <w:t xml:space="preserve"> K., </w:t>
      </w:r>
      <w:hyperlink r:id="rId18" w:anchor="!" w:history="1">
        <w:r w:rsidRPr="00D94E39">
          <w:t>Brown</w:t>
        </w:r>
      </w:hyperlink>
      <w:bookmarkEnd w:id="6"/>
      <w:r>
        <w:t xml:space="preserve"> S., 2022</w:t>
      </w:r>
      <w:r w:rsidRPr="00D94E39">
        <w:t xml:space="preserve"> Identification of systems thinking aspects in ISO 45001:2018 on occupational health &amp; safety management</w:t>
      </w:r>
      <w:r w:rsidR="00403C6D">
        <w:t>,</w:t>
      </w:r>
      <w:r w:rsidRPr="00D94E39">
        <w:t xml:space="preserve"> </w:t>
      </w:r>
      <w:hyperlink r:id="rId19" w:tooltip="Go to Safety Science on ScienceDirect" w:history="1">
        <w:r w:rsidRPr="00D94E39">
          <w:t>Safety Science</w:t>
        </w:r>
      </w:hyperlink>
      <w:r>
        <w:t>, 148, 1-12</w:t>
      </w:r>
    </w:p>
    <w:p w14:paraId="03002D28" w14:textId="74E00190" w:rsidR="008D12C9" w:rsidRPr="00D229BA" w:rsidRDefault="000F14CC" w:rsidP="00D229BA">
      <w:pPr>
        <w:pStyle w:val="CETReferencetext"/>
        <w:rPr>
          <w:rStyle w:val="Hipervnculo"/>
          <w:color w:val="auto"/>
          <w:u w:val="none"/>
        </w:rPr>
      </w:pPr>
      <w:r w:rsidRPr="009C23D6">
        <w:rPr>
          <w:lang w:val="es-CO"/>
        </w:rPr>
        <w:t>Mancera F</w:t>
      </w:r>
      <w:r w:rsidR="00227419">
        <w:rPr>
          <w:lang w:val="es-CO"/>
        </w:rPr>
        <w:t>.</w:t>
      </w:r>
      <w:r w:rsidRPr="009C23D6">
        <w:rPr>
          <w:lang w:val="es-CO"/>
        </w:rPr>
        <w:t>M.</w:t>
      </w:r>
      <w:r w:rsidR="00396521">
        <w:rPr>
          <w:lang w:val="es-CO"/>
        </w:rPr>
        <w:t>,</w:t>
      </w:r>
      <w:r w:rsidRPr="009C23D6">
        <w:rPr>
          <w:lang w:val="es-CO"/>
        </w:rPr>
        <w:t xml:space="preserve"> Mancera R</w:t>
      </w:r>
      <w:r w:rsidR="00227419">
        <w:rPr>
          <w:lang w:val="es-CO"/>
        </w:rPr>
        <w:t>.</w:t>
      </w:r>
      <w:r w:rsidRPr="009C23D6">
        <w:rPr>
          <w:lang w:val="es-CO"/>
        </w:rPr>
        <w:t>M.</w:t>
      </w:r>
      <w:r w:rsidR="00227419">
        <w:rPr>
          <w:lang w:val="es-CO"/>
        </w:rPr>
        <w:t>,</w:t>
      </w:r>
      <w:r w:rsidRPr="009C23D6">
        <w:rPr>
          <w:lang w:val="es-CO"/>
        </w:rPr>
        <w:t xml:space="preserve"> Mancera R</w:t>
      </w:r>
      <w:r w:rsidR="00227419">
        <w:rPr>
          <w:lang w:val="es-CO"/>
        </w:rPr>
        <w:t>.</w:t>
      </w:r>
      <w:r w:rsidRPr="009C23D6">
        <w:rPr>
          <w:lang w:val="es-CO"/>
        </w:rPr>
        <w:t>R.</w:t>
      </w:r>
      <w:r w:rsidR="00227419">
        <w:rPr>
          <w:lang w:val="es-CO"/>
        </w:rPr>
        <w:t>,</w:t>
      </w:r>
      <w:r w:rsidRPr="009C23D6">
        <w:rPr>
          <w:lang w:val="es-CO"/>
        </w:rPr>
        <w:t xml:space="preserve"> Mancera R</w:t>
      </w:r>
      <w:r w:rsidR="00227419">
        <w:rPr>
          <w:lang w:val="es-CO"/>
        </w:rPr>
        <w:t>.</w:t>
      </w:r>
      <w:r w:rsidRPr="009C23D6">
        <w:rPr>
          <w:lang w:val="es-CO"/>
        </w:rPr>
        <w:t xml:space="preserve">J., 2018, Seguridad y salud en el trabajo. </w:t>
      </w:r>
      <w:proofErr w:type="spellStart"/>
      <w:r w:rsidRPr="00D229BA">
        <w:t>Gestión</w:t>
      </w:r>
      <w:proofErr w:type="spellEnd"/>
      <w:r w:rsidRPr="00D229BA">
        <w:t xml:space="preserve"> de </w:t>
      </w:r>
      <w:proofErr w:type="spellStart"/>
      <w:r w:rsidRPr="00D229BA">
        <w:t>Riesgos</w:t>
      </w:r>
      <w:proofErr w:type="spellEnd"/>
      <w:r w:rsidRPr="00D229BA">
        <w:t xml:space="preserve">., </w:t>
      </w:r>
      <w:proofErr w:type="spellStart"/>
      <w:r w:rsidRPr="00D229BA">
        <w:t>Alfaomega</w:t>
      </w:r>
      <w:proofErr w:type="spellEnd"/>
      <w:r w:rsidRPr="00D229BA">
        <w:t xml:space="preserve"> </w:t>
      </w:r>
      <w:r w:rsidR="0011155B" w:rsidRPr="00D229BA">
        <w:rPr>
          <w:rStyle w:val="title-text"/>
        </w:rPr>
        <w:t xml:space="preserve">production, </w:t>
      </w:r>
      <w:hyperlink r:id="rId20" w:tooltip="Go to Journal of Cleaner Production on ScienceDirect" w:history="1">
        <w:r w:rsidR="0011155B" w:rsidRPr="00D229BA">
          <w:t>Journal of Cleaner Production</w:t>
        </w:r>
      </w:hyperlink>
      <w:r w:rsidR="0011155B" w:rsidRPr="00D229BA">
        <w:t>,</w:t>
      </w:r>
      <w:r w:rsidR="0011155B" w:rsidRPr="00D229BA">
        <w:rPr>
          <w:rStyle w:val="title-text"/>
        </w:rPr>
        <w:t xml:space="preserve"> Vol 247,20</w:t>
      </w:r>
    </w:p>
    <w:p w14:paraId="45CF442A" w14:textId="16BED4FB" w:rsidR="009E0D3C" w:rsidRDefault="009D11B2" w:rsidP="00D229BA">
      <w:pPr>
        <w:pStyle w:val="CETReferencetext"/>
      </w:pPr>
      <w:r w:rsidRPr="00D229BA">
        <w:t>Santos G.</w:t>
      </w:r>
      <w:r w:rsidR="00396521">
        <w:t>,</w:t>
      </w:r>
      <w:r w:rsidRPr="00D229BA">
        <w:t xml:space="preserve"> Barros S.</w:t>
      </w:r>
      <w:r w:rsidR="00396521">
        <w:t>,</w:t>
      </w:r>
      <w:r w:rsidRPr="00D229BA">
        <w:t xml:space="preserve"> Mendes F.</w:t>
      </w:r>
      <w:r w:rsidR="00396521">
        <w:t>,</w:t>
      </w:r>
      <w:r w:rsidR="003B19F3" w:rsidRPr="00D229BA">
        <w:t xml:space="preserve"> </w:t>
      </w:r>
      <w:r w:rsidRPr="00D229BA">
        <w:t>Lopez N</w:t>
      </w:r>
      <w:r w:rsidR="00396521">
        <w:t>.</w:t>
      </w:r>
      <w:r w:rsidRPr="00D229BA">
        <w:t>, 2013, The main benefits associated with health and safety management systems certification in Portuguese small and medium enterprises post quality management system certification, Safety Science, Vol 51,1, 29-36.</w:t>
      </w:r>
    </w:p>
    <w:p w14:paraId="31FD605A" w14:textId="07C07ABC" w:rsidR="00F02A12" w:rsidRDefault="00F02A12" w:rsidP="00D229BA">
      <w:pPr>
        <w:pStyle w:val="CETReferencetext"/>
      </w:pPr>
      <w:r w:rsidRPr="00F02A12">
        <w:t>Stefana</w:t>
      </w:r>
      <w:r>
        <w:t xml:space="preserve"> E.</w:t>
      </w:r>
      <w:r w:rsidRPr="00F02A12">
        <w:t>,</w:t>
      </w:r>
      <w:r>
        <w:t xml:space="preserve"> </w:t>
      </w:r>
      <w:r w:rsidRPr="00F02A12">
        <w:t>Paltrinieri</w:t>
      </w:r>
      <w:r>
        <w:t xml:space="preserve"> N., 2020, </w:t>
      </w:r>
      <w:r w:rsidRPr="00F02A12">
        <w:t>Integration Between Occupational and Process Safety: Existing Approaches and Challenges for an Enhanced Framework</w:t>
      </w:r>
      <w:r>
        <w:t xml:space="preserve">, </w:t>
      </w:r>
      <w:r w:rsidRPr="00D229BA">
        <w:t xml:space="preserve">Chemical Engineering Transactions, </w:t>
      </w:r>
      <w:r>
        <w:t>82</w:t>
      </w:r>
      <w:r w:rsidRPr="00D229BA">
        <w:t xml:space="preserve">, </w:t>
      </w:r>
      <w:r>
        <w:t>31-36</w:t>
      </w:r>
      <w:r w:rsidRPr="00D229BA">
        <w:t>.</w:t>
      </w:r>
    </w:p>
    <w:p w14:paraId="3EB71CF7" w14:textId="42A34FFD" w:rsidR="00481B05" w:rsidRPr="00D229BA" w:rsidRDefault="00481B05" w:rsidP="00481B05">
      <w:pPr>
        <w:pStyle w:val="CETReferencetext"/>
      </w:pPr>
      <w:r w:rsidRPr="00481B05">
        <w:t xml:space="preserve">Redinger </w:t>
      </w:r>
      <w:r>
        <w:t xml:space="preserve">Ch., </w:t>
      </w:r>
      <w:r w:rsidRPr="00481B05">
        <w:t>Levine</w:t>
      </w:r>
      <w:r>
        <w:t xml:space="preserve"> S</w:t>
      </w:r>
      <w:r w:rsidRPr="00481B05">
        <w:t>.</w:t>
      </w:r>
      <w:r>
        <w:t>,</w:t>
      </w:r>
      <w:r w:rsidRPr="00481B05">
        <w:t xml:space="preserve"> 2010</w:t>
      </w:r>
      <w:r>
        <w:t>,</w:t>
      </w:r>
      <w:r w:rsidRPr="00481B05">
        <w:t xml:space="preserve"> Development and Evaluation of The Michigan Occupational Health and Safety Management System Assessment Instrument: A Universal OHSMS Performance Measurement Tool</w:t>
      </w:r>
      <w:r>
        <w:t>,</w:t>
      </w:r>
      <w:r w:rsidRPr="00481B05">
        <w:t xml:space="preserve"> American Industrial Hygiene Association Journal, 59</w:t>
      </w:r>
      <w:r>
        <w:t>,</w:t>
      </w:r>
      <w:r w:rsidRPr="00481B05">
        <w:t>8, 572-581.</w:t>
      </w:r>
    </w:p>
    <w:p w14:paraId="3F75E040" w14:textId="4FC45988" w:rsidR="003B19F3" w:rsidRPr="00D229BA" w:rsidRDefault="003B19F3" w:rsidP="00D229BA">
      <w:pPr>
        <w:pStyle w:val="CETReferencetext"/>
      </w:pPr>
      <w:r w:rsidRPr="00D229BA">
        <w:t>Vinodkumar M</w:t>
      </w:r>
      <w:r w:rsidR="0054381F" w:rsidRPr="00D229BA">
        <w:t>.</w:t>
      </w:r>
      <w:r w:rsidR="009D57E6">
        <w:t>,</w:t>
      </w:r>
      <w:r w:rsidR="0054381F" w:rsidRPr="00D229BA">
        <w:t xml:space="preserve"> Bhasi M</w:t>
      </w:r>
      <w:r w:rsidR="009D57E6">
        <w:t>.</w:t>
      </w:r>
      <w:r w:rsidR="0054381F" w:rsidRPr="00D229BA">
        <w:t>, 2011, A study on the impact of management system certification on safety management, Safety Science, Vol 49,3, 498-507</w:t>
      </w:r>
    </w:p>
    <w:p w14:paraId="6B274A8A" w14:textId="42F43EC2" w:rsidR="00077BD2" w:rsidRDefault="00077BD2" w:rsidP="00D229BA">
      <w:pPr>
        <w:pStyle w:val="CETReferencetext"/>
      </w:pPr>
      <w:r w:rsidRPr="00D229BA">
        <w:t>Walker D.</w:t>
      </w:r>
      <w:r w:rsidR="009D57E6">
        <w:t>,</w:t>
      </w:r>
      <w:r w:rsidRPr="00D229BA">
        <w:t xml:space="preserve"> Tait R., 2004, Health and safety management in small enterprises: an effective </w:t>
      </w:r>
      <w:r w:rsidR="00543358" w:rsidRPr="00D229BA">
        <w:t>low-cost</w:t>
      </w:r>
      <w:r w:rsidRPr="00D229BA">
        <w:t xml:space="preserve"> approach, Safety Science, Vol 42,1, 69-83</w:t>
      </w:r>
    </w:p>
    <w:p w14:paraId="64FB87E5" w14:textId="6DAE6D9D" w:rsidR="00326A7C" w:rsidRDefault="00326A7C" w:rsidP="00D229BA">
      <w:pPr>
        <w:pStyle w:val="CETReferencetext"/>
        <w:rPr>
          <w:lang w:val="en-US"/>
        </w:rPr>
      </w:pPr>
      <w:r w:rsidRPr="00326A7C">
        <w:rPr>
          <w:lang w:val="en-US"/>
        </w:rPr>
        <w:t>Zhang M.</w:t>
      </w:r>
      <w:r>
        <w:rPr>
          <w:lang w:val="en-US"/>
        </w:rPr>
        <w:t>,</w:t>
      </w:r>
      <w:r w:rsidRPr="00326A7C">
        <w:rPr>
          <w:lang w:val="en-US"/>
        </w:rPr>
        <w:t xml:space="preserve"> Qi C.</w:t>
      </w:r>
      <w:r>
        <w:rPr>
          <w:lang w:val="en-US"/>
        </w:rPr>
        <w:t>,</w:t>
      </w:r>
      <w:r w:rsidRPr="00326A7C">
        <w:rPr>
          <w:lang w:val="en-US"/>
        </w:rPr>
        <w:t xml:space="preserve"> Chen W., Lu Y.,</w:t>
      </w:r>
      <w:r>
        <w:rPr>
          <w:lang w:val="en-US"/>
        </w:rPr>
        <w:t xml:space="preserve"> Du X., Li W, Meng</w:t>
      </w:r>
      <w:r w:rsidR="009D57E6">
        <w:rPr>
          <w:lang w:val="en-US"/>
        </w:rPr>
        <w:t xml:space="preserve"> </w:t>
      </w:r>
      <w:r>
        <w:rPr>
          <w:lang w:val="en-US"/>
        </w:rPr>
        <w:t xml:space="preserve">C., 2010, </w:t>
      </w:r>
      <w:r w:rsidRPr="00326A7C">
        <w:rPr>
          <w:lang w:val="en-US"/>
        </w:rPr>
        <w:t>Re-analysis of occupational hazards in foundry</w:t>
      </w:r>
      <w:r>
        <w:rPr>
          <w:lang w:val="en-US"/>
        </w:rPr>
        <w:t>,</w:t>
      </w:r>
      <w:r w:rsidRPr="00326A7C">
        <w:t xml:space="preserve"> </w:t>
      </w:r>
      <w:r w:rsidRPr="00543358">
        <w:rPr>
          <w:lang w:val="en-US"/>
        </w:rPr>
        <w:t>Chinese Journal of Industrial Hygiene and Occupational Diseases,</w:t>
      </w:r>
      <w:r>
        <w:rPr>
          <w:i/>
          <w:lang w:val="en-US"/>
        </w:rPr>
        <w:t xml:space="preserve"> </w:t>
      </w:r>
      <w:r>
        <w:rPr>
          <w:lang w:val="en-US"/>
        </w:rPr>
        <w:t>Vol 28,4, 280-285.</w:t>
      </w:r>
    </w:p>
    <w:p w14:paraId="1351716E" w14:textId="3AAE743A" w:rsidR="00BB4E85" w:rsidRPr="00326A7C" w:rsidRDefault="001F2C1B" w:rsidP="00D229BA">
      <w:pPr>
        <w:pStyle w:val="CETReferencetext"/>
        <w:rPr>
          <w:lang w:val="en-US"/>
        </w:rPr>
      </w:pPr>
      <w:r w:rsidRPr="001F2C1B">
        <w:t>Tudoran</w:t>
      </w:r>
      <w:r>
        <w:t xml:space="preserve"> V., </w:t>
      </w:r>
      <w:r w:rsidRPr="001F2C1B">
        <w:t>Marin</w:t>
      </w:r>
      <w:r>
        <w:t xml:space="preserve"> C., </w:t>
      </w:r>
      <w:r w:rsidR="00601BBE">
        <w:t>Condrea</w:t>
      </w:r>
      <w:r>
        <w:t xml:space="preserve"> E., 2020, C</w:t>
      </w:r>
      <w:r w:rsidRPr="001F2C1B">
        <w:t>orrections and corrective actions – instruments for the continuous improvement of a management system</w:t>
      </w:r>
      <w:r>
        <w:t xml:space="preserve">, </w:t>
      </w:r>
      <w:r w:rsidRPr="00543358">
        <w:t xml:space="preserve">Management and Leadership, </w:t>
      </w:r>
      <w:proofErr w:type="spellStart"/>
      <w:r w:rsidRPr="00543358">
        <w:t>Strategica</w:t>
      </w:r>
      <w:proofErr w:type="spellEnd"/>
      <w:r w:rsidRPr="00543358">
        <w:t>,</w:t>
      </w:r>
      <w:r>
        <w:t xml:space="preserve"> 275-287</w:t>
      </w:r>
    </w:p>
    <w:sectPr w:rsidR="00BB4E85" w:rsidRPr="00326A7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9BEFA" w14:textId="77777777" w:rsidR="00EC5A87" w:rsidRDefault="00EC5A87" w:rsidP="004F5E36">
      <w:r>
        <w:separator/>
      </w:r>
    </w:p>
  </w:endnote>
  <w:endnote w:type="continuationSeparator" w:id="0">
    <w:p w14:paraId="550F0E00" w14:textId="77777777" w:rsidR="00EC5A87" w:rsidRDefault="00EC5A8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B80C8" w14:textId="77777777" w:rsidR="00EC5A87" w:rsidRDefault="00EC5A87" w:rsidP="004F5E36">
      <w:r>
        <w:separator/>
      </w:r>
    </w:p>
  </w:footnote>
  <w:footnote w:type="continuationSeparator" w:id="0">
    <w:p w14:paraId="31B3D78A" w14:textId="77777777" w:rsidR="00EC5A87" w:rsidRDefault="00EC5A8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E87E3A"/>
    <w:multiLevelType w:val="hybridMultilevel"/>
    <w:tmpl w:val="9FA03B5C"/>
    <w:lvl w:ilvl="0" w:tplc="BC7A29E4">
      <w:numFmt w:val="bullet"/>
      <w:lvlText w:val="-"/>
      <w:lvlJc w:val="left"/>
      <w:pPr>
        <w:ind w:left="827" w:hanging="360"/>
      </w:pPr>
      <w:rPr>
        <w:rFonts w:ascii="Arial MT" w:eastAsia="Arial MT" w:hAnsi="Arial MT" w:cs="Arial MT" w:hint="default"/>
        <w:w w:val="99"/>
        <w:sz w:val="20"/>
        <w:szCs w:val="20"/>
        <w:lang w:val="es-ES" w:eastAsia="en-US" w:bidi="ar-SA"/>
      </w:rPr>
    </w:lvl>
    <w:lvl w:ilvl="1" w:tplc="74A445D8">
      <w:numFmt w:val="bullet"/>
      <w:lvlText w:val="•"/>
      <w:lvlJc w:val="left"/>
      <w:pPr>
        <w:ind w:left="1095" w:hanging="360"/>
      </w:pPr>
      <w:rPr>
        <w:rFonts w:hint="default"/>
        <w:lang w:val="es-ES" w:eastAsia="en-US" w:bidi="ar-SA"/>
      </w:rPr>
    </w:lvl>
    <w:lvl w:ilvl="2" w:tplc="E14A7652">
      <w:numFmt w:val="bullet"/>
      <w:lvlText w:val="•"/>
      <w:lvlJc w:val="left"/>
      <w:pPr>
        <w:ind w:left="1371" w:hanging="360"/>
      </w:pPr>
      <w:rPr>
        <w:rFonts w:hint="default"/>
        <w:lang w:val="es-ES" w:eastAsia="en-US" w:bidi="ar-SA"/>
      </w:rPr>
    </w:lvl>
    <w:lvl w:ilvl="3" w:tplc="C10C596A">
      <w:numFmt w:val="bullet"/>
      <w:lvlText w:val="•"/>
      <w:lvlJc w:val="left"/>
      <w:pPr>
        <w:ind w:left="1646" w:hanging="360"/>
      </w:pPr>
      <w:rPr>
        <w:rFonts w:hint="default"/>
        <w:lang w:val="es-ES" w:eastAsia="en-US" w:bidi="ar-SA"/>
      </w:rPr>
    </w:lvl>
    <w:lvl w:ilvl="4" w:tplc="CBB43670">
      <w:numFmt w:val="bullet"/>
      <w:lvlText w:val="•"/>
      <w:lvlJc w:val="left"/>
      <w:pPr>
        <w:ind w:left="1922" w:hanging="360"/>
      </w:pPr>
      <w:rPr>
        <w:rFonts w:hint="default"/>
        <w:lang w:val="es-ES" w:eastAsia="en-US" w:bidi="ar-SA"/>
      </w:rPr>
    </w:lvl>
    <w:lvl w:ilvl="5" w:tplc="F1B0A0A0">
      <w:numFmt w:val="bullet"/>
      <w:lvlText w:val="•"/>
      <w:lvlJc w:val="left"/>
      <w:pPr>
        <w:ind w:left="2198" w:hanging="360"/>
      </w:pPr>
      <w:rPr>
        <w:rFonts w:hint="default"/>
        <w:lang w:val="es-ES" w:eastAsia="en-US" w:bidi="ar-SA"/>
      </w:rPr>
    </w:lvl>
    <w:lvl w:ilvl="6" w:tplc="A82EA034">
      <w:numFmt w:val="bullet"/>
      <w:lvlText w:val="•"/>
      <w:lvlJc w:val="left"/>
      <w:pPr>
        <w:ind w:left="2473" w:hanging="360"/>
      </w:pPr>
      <w:rPr>
        <w:rFonts w:hint="default"/>
        <w:lang w:val="es-ES" w:eastAsia="en-US" w:bidi="ar-SA"/>
      </w:rPr>
    </w:lvl>
    <w:lvl w:ilvl="7" w:tplc="70887F06">
      <w:numFmt w:val="bullet"/>
      <w:lvlText w:val="•"/>
      <w:lvlJc w:val="left"/>
      <w:pPr>
        <w:ind w:left="2749" w:hanging="360"/>
      </w:pPr>
      <w:rPr>
        <w:rFonts w:hint="default"/>
        <w:lang w:val="es-ES" w:eastAsia="en-US" w:bidi="ar-SA"/>
      </w:rPr>
    </w:lvl>
    <w:lvl w:ilvl="8" w:tplc="9F9A7850">
      <w:numFmt w:val="bullet"/>
      <w:lvlText w:val="•"/>
      <w:lvlJc w:val="left"/>
      <w:pPr>
        <w:ind w:left="3024" w:hanging="360"/>
      </w:pPr>
      <w:rPr>
        <w:rFonts w:hint="default"/>
        <w:lang w:val="es-ES" w:eastAsia="en-US" w:bidi="ar-SA"/>
      </w:rPr>
    </w:lvl>
  </w:abstractNum>
  <w:abstractNum w:abstractNumId="11" w15:restartNumberingAfterBreak="0">
    <w:nsid w:val="120451B1"/>
    <w:multiLevelType w:val="hybridMultilevel"/>
    <w:tmpl w:val="6A3CFB4C"/>
    <w:lvl w:ilvl="0" w:tplc="3DA2E67C">
      <w:numFmt w:val="bullet"/>
      <w:lvlText w:val="-"/>
      <w:lvlJc w:val="left"/>
      <w:pPr>
        <w:ind w:left="828" w:hanging="361"/>
      </w:pPr>
      <w:rPr>
        <w:rFonts w:ascii="Arial MT" w:eastAsia="Arial MT" w:hAnsi="Arial MT" w:cs="Arial MT" w:hint="default"/>
        <w:w w:val="99"/>
        <w:sz w:val="20"/>
        <w:szCs w:val="20"/>
        <w:lang w:val="es-ES" w:eastAsia="en-US" w:bidi="ar-SA"/>
      </w:rPr>
    </w:lvl>
    <w:lvl w:ilvl="1" w:tplc="9F62E6F4">
      <w:numFmt w:val="bullet"/>
      <w:lvlText w:val="•"/>
      <w:lvlJc w:val="left"/>
      <w:pPr>
        <w:ind w:left="996" w:hanging="361"/>
      </w:pPr>
      <w:rPr>
        <w:rFonts w:hint="default"/>
        <w:lang w:val="es-ES" w:eastAsia="en-US" w:bidi="ar-SA"/>
      </w:rPr>
    </w:lvl>
    <w:lvl w:ilvl="2" w:tplc="D2906518">
      <w:numFmt w:val="bullet"/>
      <w:lvlText w:val="•"/>
      <w:lvlJc w:val="left"/>
      <w:pPr>
        <w:ind w:left="1173" w:hanging="361"/>
      </w:pPr>
      <w:rPr>
        <w:rFonts w:hint="default"/>
        <w:lang w:val="es-ES" w:eastAsia="en-US" w:bidi="ar-SA"/>
      </w:rPr>
    </w:lvl>
    <w:lvl w:ilvl="3" w:tplc="E1286A0A">
      <w:numFmt w:val="bullet"/>
      <w:lvlText w:val="•"/>
      <w:lvlJc w:val="left"/>
      <w:pPr>
        <w:ind w:left="1349" w:hanging="361"/>
      </w:pPr>
      <w:rPr>
        <w:rFonts w:hint="default"/>
        <w:lang w:val="es-ES" w:eastAsia="en-US" w:bidi="ar-SA"/>
      </w:rPr>
    </w:lvl>
    <w:lvl w:ilvl="4" w:tplc="7936AA4E">
      <w:numFmt w:val="bullet"/>
      <w:lvlText w:val="•"/>
      <w:lvlJc w:val="left"/>
      <w:pPr>
        <w:ind w:left="1526" w:hanging="361"/>
      </w:pPr>
      <w:rPr>
        <w:rFonts w:hint="default"/>
        <w:lang w:val="es-ES" w:eastAsia="en-US" w:bidi="ar-SA"/>
      </w:rPr>
    </w:lvl>
    <w:lvl w:ilvl="5" w:tplc="18E43E3C">
      <w:numFmt w:val="bullet"/>
      <w:lvlText w:val="•"/>
      <w:lvlJc w:val="left"/>
      <w:pPr>
        <w:ind w:left="1702" w:hanging="361"/>
      </w:pPr>
      <w:rPr>
        <w:rFonts w:hint="default"/>
        <w:lang w:val="es-ES" w:eastAsia="en-US" w:bidi="ar-SA"/>
      </w:rPr>
    </w:lvl>
    <w:lvl w:ilvl="6" w:tplc="D0AE53E0">
      <w:numFmt w:val="bullet"/>
      <w:lvlText w:val="•"/>
      <w:lvlJc w:val="left"/>
      <w:pPr>
        <w:ind w:left="1879" w:hanging="361"/>
      </w:pPr>
      <w:rPr>
        <w:rFonts w:hint="default"/>
        <w:lang w:val="es-ES" w:eastAsia="en-US" w:bidi="ar-SA"/>
      </w:rPr>
    </w:lvl>
    <w:lvl w:ilvl="7" w:tplc="431E65B2">
      <w:numFmt w:val="bullet"/>
      <w:lvlText w:val="•"/>
      <w:lvlJc w:val="left"/>
      <w:pPr>
        <w:ind w:left="2055" w:hanging="361"/>
      </w:pPr>
      <w:rPr>
        <w:rFonts w:hint="default"/>
        <w:lang w:val="es-ES" w:eastAsia="en-US" w:bidi="ar-SA"/>
      </w:rPr>
    </w:lvl>
    <w:lvl w:ilvl="8" w:tplc="ECE46FD4">
      <w:numFmt w:val="bullet"/>
      <w:lvlText w:val="•"/>
      <w:lvlJc w:val="left"/>
      <w:pPr>
        <w:ind w:left="2232" w:hanging="361"/>
      </w:pPr>
      <w:rPr>
        <w:rFonts w:hint="default"/>
        <w:lang w:val="es-ES" w:eastAsia="en-US" w:bidi="ar-SA"/>
      </w:rPr>
    </w:lvl>
  </w:abstractNum>
  <w:abstractNum w:abstractNumId="12" w15:restartNumberingAfterBreak="0">
    <w:nsid w:val="18954E90"/>
    <w:multiLevelType w:val="hybridMultilevel"/>
    <w:tmpl w:val="7284A4E8"/>
    <w:lvl w:ilvl="0" w:tplc="DCB6F416">
      <w:numFmt w:val="bullet"/>
      <w:lvlText w:val=""/>
      <w:lvlJc w:val="left"/>
      <w:pPr>
        <w:ind w:left="1428" w:hanging="360"/>
      </w:pPr>
      <w:rPr>
        <w:rFonts w:ascii="Symbol" w:eastAsia="Symbol" w:hAnsi="Symbol" w:cs="Symbol" w:hint="default"/>
        <w:w w:val="100"/>
        <w:sz w:val="24"/>
        <w:szCs w:val="24"/>
        <w:lang w:val="es-ES" w:eastAsia="en-US" w:bidi="ar-SA"/>
      </w:rPr>
    </w:lvl>
    <w:lvl w:ilvl="1" w:tplc="73C25276">
      <w:numFmt w:val="bullet"/>
      <w:lvlText w:val="•"/>
      <w:lvlJc w:val="left"/>
      <w:pPr>
        <w:ind w:left="2272" w:hanging="360"/>
      </w:pPr>
      <w:rPr>
        <w:rFonts w:hint="default"/>
        <w:lang w:val="es-ES" w:eastAsia="en-US" w:bidi="ar-SA"/>
      </w:rPr>
    </w:lvl>
    <w:lvl w:ilvl="2" w:tplc="FAD8BF90">
      <w:numFmt w:val="bullet"/>
      <w:lvlText w:val="•"/>
      <w:lvlJc w:val="left"/>
      <w:pPr>
        <w:ind w:left="3124" w:hanging="360"/>
      </w:pPr>
      <w:rPr>
        <w:rFonts w:hint="default"/>
        <w:lang w:val="es-ES" w:eastAsia="en-US" w:bidi="ar-SA"/>
      </w:rPr>
    </w:lvl>
    <w:lvl w:ilvl="3" w:tplc="701C427A">
      <w:numFmt w:val="bullet"/>
      <w:lvlText w:val="•"/>
      <w:lvlJc w:val="left"/>
      <w:pPr>
        <w:ind w:left="3976" w:hanging="360"/>
      </w:pPr>
      <w:rPr>
        <w:rFonts w:hint="default"/>
        <w:lang w:val="es-ES" w:eastAsia="en-US" w:bidi="ar-SA"/>
      </w:rPr>
    </w:lvl>
    <w:lvl w:ilvl="4" w:tplc="A5CAC3FA">
      <w:numFmt w:val="bullet"/>
      <w:lvlText w:val="•"/>
      <w:lvlJc w:val="left"/>
      <w:pPr>
        <w:ind w:left="4828" w:hanging="360"/>
      </w:pPr>
      <w:rPr>
        <w:rFonts w:hint="default"/>
        <w:lang w:val="es-ES" w:eastAsia="en-US" w:bidi="ar-SA"/>
      </w:rPr>
    </w:lvl>
    <w:lvl w:ilvl="5" w:tplc="E6DE5C66">
      <w:numFmt w:val="bullet"/>
      <w:lvlText w:val="•"/>
      <w:lvlJc w:val="left"/>
      <w:pPr>
        <w:ind w:left="5680" w:hanging="360"/>
      </w:pPr>
      <w:rPr>
        <w:rFonts w:hint="default"/>
        <w:lang w:val="es-ES" w:eastAsia="en-US" w:bidi="ar-SA"/>
      </w:rPr>
    </w:lvl>
    <w:lvl w:ilvl="6" w:tplc="4B14C89C">
      <w:numFmt w:val="bullet"/>
      <w:lvlText w:val="•"/>
      <w:lvlJc w:val="left"/>
      <w:pPr>
        <w:ind w:left="6532" w:hanging="360"/>
      </w:pPr>
      <w:rPr>
        <w:rFonts w:hint="default"/>
        <w:lang w:val="es-ES" w:eastAsia="en-US" w:bidi="ar-SA"/>
      </w:rPr>
    </w:lvl>
    <w:lvl w:ilvl="7" w:tplc="87706584">
      <w:numFmt w:val="bullet"/>
      <w:lvlText w:val="•"/>
      <w:lvlJc w:val="left"/>
      <w:pPr>
        <w:ind w:left="7384" w:hanging="360"/>
      </w:pPr>
      <w:rPr>
        <w:rFonts w:hint="default"/>
        <w:lang w:val="es-ES" w:eastAsia="en-US" w:bidi="ar-SA"/>
      </w:rPr>
    </w:lvl>
    <w:lvl w:ilvl="8" w:tplc="EDB861D6">
      <w:numFmt w:val="bullet"/>
      <w:lvlText w:val="•"/>
      <w:lvlJc w:val="left"/>
      <w:pPr>
        <w:ind w:left="8236" w:hanging="360"/>
      </w:pPr>
      <w:rPr>
        <w:rFonts w:hint="default"/>
        <w:lang w:val="es-ES" w:eastAsia="en-US" w:bidi="ar-SA"/>
      </w:rPr>
    </w:lvl>
  </w:abstractNum>
  <w:abstractNum w:abstractNumId="13" w15:restartNumberingAfterBreak="0">
    <w:nsid w:val="18FE064E"/>
    <w:multiLevelType w:val="hybridMultilevel"/>
    <w:tmpl w:val="0FCC5B92"/>
    <w:lvl w:ilvl="0" w:tplc="8138C37E">
      <w:numFmt w:val="bullet"/>
      <w:lvlText w:val="-"/>
      <w:lvlJc w:val="left"/>
      <w:pPr>
        <w:ind w:left="828" w:hanging="361"/>
      </w:pPr>
      <w:rPr>
        <w:rFonts w:ascii="Arial MT" w:eastAsia="Arial MT" w:hAnsi="Arial MT" w:cs="Arial MT" w:hint="default"/>
        <w:w w:val="99"/>
        <w:sz w:val="20"/>
        <w:szCs w:val="20"/>
        <w:lang w:val="es-ES" w:eastAsia="en-US" w:bidi="ar-SA"/>
      </w:rPr>
    </w:lvl>
    <w:lvl w:ilvl="1" w:tplc="5842443C">
      <w:numFmt w:val="bullet"/>
      <w:lvlText w:val="•"/>
      <w:lvlJc w:val="left"/>
      <w:pPr>
        <w:ind w:left="996" w:hanging="361"/>
      </w:pPr>
      <w:rPr>
        <w:rFonts w:hint="default"/>
        <w:lang w:val="es-ES" w:eastAsia="en-US" w:bidi="ar-SA"/>
      </w:rPr>
    </w:lvl>
    <w:lvl w:ilvl="2" w:tplc="0740A66A">
      <w:numFmt w:val="bullet"/>
      <w:lvlText w:val="•"/>
      <w:lvlJc w:val="left"/>
      <w:pPr>
        <w:ind w:left="1173" w:hanging="361"/>
      </w:pPr>
      <w:rPr>
        <w:rFonts w:hint="default"/>
        <w:lang w:val="es-ES" w:eastAsia="en-US" w:bidi="ar-SA"/>
      </w:rPr>
    </w:lvl>
    <w:lvl w:ilvl="3" w:tplc="B81EF72C">
      <w:numFmt w:val="bullet"/>
      <w:lvlText w:val="•"/>
      <w:lvlJc w:val="left"/>
      <w:pPr>
        <w:ind w:left="1349" w:hanging="361"/>
      </w:pPr>
      <w:rPr>
        <w:rFonts w:hint="default"/>
        <w:lang w:val="es-ES" w:eastAsia="en-US" w:bidi="ar-SA"/>
      </w:rPr>
    </w:lvl>
    <w:lvl w:ilvl="4" w:tplc="EC10D36A">
      <w:numFmt w:val="bullet"/>
      <w:lvlText w:val="•"/>
      <w:lvlJc w:val="left"/>
      <w:pPr>
        <w:ind w:left="1526" w:hanging="361"/>
      </w:pPr>
      <w:rPr>
        <w:rFonts w:hint="default"/>
        <w:lang w:val="es-ES" w:eastAsia="en-US" w:bidi="ar-SA"/>
      </w:rPr>
    </w:lvl>
    <w:lvl w:ilvl="5" w:tplc="254C4770">
      <w:numFmt w:val="bullet"/>
      <w:lvlText w:val="•"/>
      <w:lvlJc w:val="left"/>
      <w:pPr>
        <w:ind w:left="1702" w:hanging="361"/>
      </w:pPr>
      <w:rPr>
        <w:rFonts w:hint="default"/>
        <w:lang w:val="es-ES" w:eastAsia="en-US" w:bidi="ar-SA"/>
      </w:rPr>
    </w:lvl>
    <w:lvl w:ilvl="6" w:tplc="2536E694">
      <w:numFmt w:val="bullet"/>
      <w:lvlText w:val="•"/>
      <w:lvlJc w:val="left"/>
      <w:pPr>
        <w:ind w:left="1879" w:hanging="361"/>
      </w:pPr>
      <w:rPr>
        <w:rFonts w:hint="default"/>
        <w:lang w:val="es-ES" w:eastAsia="en-US" w:bidi="ar-SA"/>
      </w:rPr>
    </w:lvl>
    <w:lvl w:ilvl="7" w:tplc="5AE21A62">
      <w:numFmt w:val="bullet"/>
      <w:lvlText w:val="•"/>
      <w:lvlJc w:val="left"/>
      <w:pPr>
        <w:ind w:left="2055" w:hanging="361"/>
      </w:pPr>
      <w:rPr>
        <w:rFonts w:hint="default"/>
        <w:lang w:val="es-ES" w:eastAsia="en-US" w:bidi="ar-SA"/>
      </w:rPr>
    </w:lvl>
    <w:lvl w:ilvl="8" w:tplc="9C0279C2">
      <w:numFmt w:val="bullet"/>
      <w:lvlText w:val="•"/>
      <w:lvlJc w:val="left"/>
      <w:pPr>
        <w:ind w:left="2232" w:hanging="361"/>
      </w:pPr>
      <w:rPr>
        <w:rFonts w:hint="default"/>
        <w:lang w:val="es-ES" w:eastAsia="en-US" w:bidi="ar-SA"/>
      </w:rPr>
    </w:lvl>
  </w:abstractNum>
  <w:abstractNum w:abstractNumId="14" w15:restartNumberingAfterBreak="0">
    <w:nsid w:val="1B6B1571"/>
    <w:multiLevelType w:val="hybridMultilevel"/>
    <w:tmpl w:val="ADD43F36"/>
    <w:lvl w:ilvl="0" w:tplc="78D88670">
      <w:numFmt w:val="bullet"/>
      <w:lvlText w:val="-"/>
      <w:lvlJc w:val="left"/>
      <w:pPr>
        <w:ind w:left="827" w:hanging="360"/>
      </w:pPr>
      <w:rPr>
        <w:rFonts w:ascii="Arial MT" w:eastAsia="Arial MT" w:hAnsi="Arial MT" w:cs="Arial MT" w:hint="default"/>
        <w:w w:val="99"/>
        <w:sz w:val="20"/>
        <w:szCs w:val="20"/>
        <w:lang w:val="es-ES" w:eastAsia="en-US" w:bidi="ar-SA"/>
      </w:rPr>
    </w:lvl>
    <w:lvl w:ilvl="1" w:tplc="1C36BB7A">
      <w:numFmt w:val="bullet"/>
      <w:lvlText w:val="•"/>
      <w:lvlJc w:val="left"/>
      <w:pPr>
        <w:ind w:left="1095" w:hanging="360"/>
      </w:pPr>
      <w:rPr>
        <w:rFonts w:hint="default"/>
        <w:lang w:val="es-ES" w:eastAsia="en-US" w:bidi="ar-SA"/>
      </w:rPr>
    </w:lvl>
    <w:lvl w:ilvl="2" w:tplc="B93EF544">
      <w:numFmt w:val="bullet"/>
      <w:lvlText w:val="•"/>
      <w:lvlJc w:val="left"/>
      <w:pPr>
        <w:ind w:left="1371" w:hanging="360"/>
      </w:pPr>
      <w:rPr>
        <w:rFonts w:hint="default"/>
        <w:lang w:val="es-ES" w:eastAsia="en-US" w:bidi="ar-SA"/>
      </w:rPr>
    </w:lvl>
    <w:lvl w:ilvl="3" w:tplc="BFC448F4">
      <w:numFmt w:val="bullet"/>
      <w:lvlText w:val="•"/>
      <w:lvlJc w:val="left"/>
      <w:pPr>
        <w:ind w:left="1646" w:hanging="360"/>
      </w:pPr>
      <w:rPr>
        <w:rFonts w:hint="default"/>
        <w:lang w:val="es-ES" w:eastAsia="en-US" w:bidi="ar-SA"/>
      </w:rPr>
    </w:lvl>
    <w:lvl w:ilvl="4" w:tplc="071C2274">
      <w:numFmt w:val="bullet"/>
      <w:lvlText w:val="•"/>
      <w:lvlJc w:val="left"/>
      <w:pPr>
        <w:ind w:left="1922" w:hanging="360"/>
      </w:pPr>
      <w:rPr>
        <w:rFonts w:hint="default"/>
        <w:lang w:val="es-ES" w:eastAsia="en-US" w:bidi="ar-SA"/>
      </w:rPr>
    </w:lvl>
    <w:lvl w:ilvl="5" w:tplc="2F647B3E">
      <w:numFmt w:val="bullet"/>
      <w:lvlText w:val="•"/>
      <w:lvlJc w:val="left"/>
      <w:pPr>
        <w:ind w:left="2198" w:hanging="360"/>
      </w:pPr>
      <w:rPr>
        <w:rFonts w:hint="default"/>
        <w:lang w:val="es-ES" w:eastAsia="en-US" w:bidi="ar-SA"/>
      </w:rPr>
    </w:lvl>
    <w:lvl w:ilvl="6" w:tplc="9BF0CA92">
      <w:numFmt w:val="bullet"/>
      <w:lvlText w:val="•"/>
      <w:lvlJc w:val="left"/>
      <w:pPr>
        <w:ind w:left="2473" w:hanging="360"/>
      </w:pPr>
      <w:rPr>
        <w:rFonts w:hint="default"/>
        <w:lang w:val="es-ES" w:eastAsia="en-US" w:bidi="ar-SA"/>
      </w:rPr>
    </w:lvl>
    <w:lvl w:ilvl="7" w:tplc="0186C076">
      <w:numFmt w:val="bullet"/>
      <w:lvlText w:val="•"/>
      <w:lvlJc w:val="left"/>
      <w:pPr>
        <w:ind w:left="2749" w:hanging="360"/>
      </w:pPr>
      <w:rPr>
        <w:rFonts w:hint="default"/>
        <w:lang w:val="es-ES" w:eastAsia="en-US" w:bidi="ar-SA"/>
      </w:rPr>
    </w:lvl>
    <w:lvl w:ilvl="8" w:tplc="03841A2E">
      <w:numFmt w:val="bullet"/>
      <w:lvlText w:val="•"/>
      <w:lvlJc w:val="left"/>
      <w:pPr>
        <w:ind w:left="3024" w:hanging="360"/>
      </w:pPr>
      <w:rPr>
        <w:rFonts w:hint="default"/>
        <w:lang w:val="es-ES" w:eastAsia="en-US" w:bidi="ar-SA"/>
      </w:rPr>
    </w:lvl>
  </w:abstractNum>
  <w:abstractNum w:abstractNumId="15" w15:restartNumberingAfterBreak="0">
    <w:nsid w:val="1CF21868"/>
    <w:multiLevelType w:val="hybridMultilevel"/>
    <w:tmpl w:val="23165FF0"/>
    <w:lvl w:ilvl="0" w:tplc="D0303A66">
      <w:numFmt w:val="bullet"/>
      <w:lvlText w:val="-"/>
      <w:lvlJc w:val="left"/>
      <w:pPr>
        <w:ind w:left="827" w:hanging="360"/>
      </w:pPr>
      <w:rPr>
        <w:rFonts w:ascii="Arial MT" w:eastAsia="Arial MT" w:hAnsi="Arial MT" w:cs="Arial MT" w:hint="default"/>
        <w:w w:val="99"/>
        <w:sz w:val="20"/>
        <w:szCs w:val="20"/>
        <w:lang w:val="es-ES" w:eastAsia="en-US" w:bidi="ar-SA"/>
      </w:rPr>
    </w:lvl>
    <w:lvl w:ilvl="1" w:tplc="C0B67D70">
      <w:numFmt w:val="bullet"/>
      <w:lvlText w:val="•"/>
      <w:lvlJc w:val="left"/>
      <w:pPr>
        <w:ind w:left="1095" w:hanging="360"/>
      </w:pPr>
      <w:rPr>
        <w:rFonts w:hint="default"/>
        <w:lang w:val="es-ES" w:eastAsia="en-US" w:bidi="ar-SA"/>
      </w:rPr>
    </w:lvl>
    <w:lvl w:ilvl="2" w:tplc="8F1487E2">
      <w:numFmt w:val="bullet"/>
      <w:lvlText w:val="•"/>
      <w:lvlJc w:val="left"/>
      <w:pPr>
        <w:ind w:left="1371" w:hanging="360"/>
      </w:pPr>
      <w:rPr>
        <w:rFonts w:hint="default"/>
        <w:lang w:val="es-ES" w:eastAsia="en-US" w:bidi="ar-SA"/>
      </w:rPr>
    </w:lvl>
    <w:lvl w:ilvl="3" w:tplc="53A6A050">
      <w:numFmt w:val="bullet"/>
      <w:lvlText w:val="•"/>
      <w:lvlJc w:val="left"/>
      <w:pPr>
        <w:ind w:left="1646" w:hanging="360"/>
      </w:pPr>
      <w:rPr>
        <w:rFonts w:hint="default"/>
        <w:lang w:val="es-ES" w:eastAsia="en-US" w:bidi="ar-SA"/>
      </w:rPr>
    </w:lvl>
    <w:lvl w:ilvl="4" w:tplc="8F1A4B0E">
      <w:numFmt w:val="bullet"/>
      <w:lvlText w:val="•"/>
      <w:lvlJc w:val="left"/>
      <w:pPr>
        <w:ind w:left="1922" w:hanging="360"/>
      </w:pPr>
      <w:rPr>
        <w:rFonts w:hint="default"/>
        <w:lang w:val="es-ES" w:eastAsia="en-US" w:bidi="ar-SA"/>
      </w:rPr>
    </w:lvl>
    <w:lvl w:ilvl="5" w:tplc="E79A8CB4">
      <w:numFmt w:val="bullet"/>
      <w:lvlText w:val="•"/>
      <w:lvlJc w:val="left"/>
      <w:pPr>
        <w:ind w:left="2198" w:hanging="360"/>
      </w:pPr>
      <w:rPr>
        <w:rFonts w:hint="default"/>
        <w:lang w:val="es-ES" w:eastAsia="en-US" w:bidi="ar-SA"/>
      </w:rPr>
    </w:lvl>
    <w:lvl w:ilvl="6" w:tplc="61C2DC4A">
      <w:numFmt w:val="bullet"/>
      <w:lvlText w:val="•"/>
      <w:lvlJc w:val="left"/>
      <w:pPr>
        <w:ind w:left="2473" w:hanging="360"/>
      </w:pPr>
      <w:rPr>
        <w:rFonts w:hint="default"/>
        <w:lang w:val="es-ES" w:eastAsia="en-US" w:bidi="ar-SA"/>
      </w:rPr>
    </w:lvl>
    <w:lvl w:ilvl="7" w:tplc="96B8AB38">
      <w:numFmt w:val="bullet"/>
      <w:lvlText w:val="•"/>
      <w:lvlJc w:val="left"/>
      <w:pPr>
        <w:ind w:left="2749" w:hanging="360"/>
      </w:pPr>
      <w:rPr>
        <w:rFonts w:hint="default"/>
        <w:lang w:val="es-ES" w:eastAsia="en-US" w:bidi="ar-SA"/>
      </w:rPr>
    </w:lvl>
    <w:lvl w:ilvl="8" w:tplc="35626DA8">
      <w:numFmt w:val="bullet"/>
      <w:lvlText w:val="•"/>
      <w:lvlJc w:val="left"/>
      <w:pPr>
        <w:ind w:left="3024" w:hanging="360"/>
      </w:pPr>
      <w:rPr>
        <w:rFonts w:hint="default"/>
        <w:lang w:val="es-ES" w:eastAsia="en-US" w:bidi="ar-SA"/>
      </w:rPr>
    </w:lvl>
  </w:abstractNum>
  <w:abstractNum w:abstractNumId="16"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851"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43C2446"/>
    <w:multiLevelType w:val="hybridMultilevel"/>
    <w:tmpl w:val="7C207EF6"/>
    <w:lvl w:ilvl="0" w:tplc="08505CFA">
      <w:numFmt w:val="bullet"/>
      <w:lvlText w:val=""/>
      <w:lvlJc w:val="left"/>
      <w:pPr>
        <w:ind w:left="1428" w:hanging="360"/>
      </w:pPr>
      <w:rPr>
        <w:rFonts w:ascii="Symbol" w:eastAsia="Symbol" w:hAnsi="Symbol" w:cs="Symbol" w:hint="default"/>
        <w:w w:val="100"/>
        <w:sz w:val="24"/>
        <w:szCs w:val="24"/>
        <w:lang w:val="es-ES" w:eastAsia="en-US" w:bidi="ar-SA"/>
      </w:rPr>
    </w:lvl>
    <w:lvl w:ilvl="1" w:tplc="6A941528">
      <w:numFmt w:val="bullet"/>
      <w:lvlText w:val="•"/>
      <w:lvlJc w:val="left"/>
      <w:pPr>
        <w:ind w:left="2272" w:hanging="360"/>
      </w:pPr>
      <w:rPr>
        <w:rFonts w:hint="default"/>
        <w:lang w:val="es-ES" w:eastAsia="en-US" w:bidi="ar-SA"/>
      </w:rPr>
    </w:lvl>
    <w:lvl w:ilvl="2" w:tplc="E4AADFEA">
      <w:numFmt w:val="bullet"/>
      <w:lvlText w:val="•"/>
      <w:lvlJc w:val="left"/>
      <w:pPr>
        <w:ind w:left="3124" w:hanging="360"/>
      </w:pPr>
      <w:rPr>
        <w:rFonts w:hint="default"/>
        <w:lang w:val="es-ES" w:eastAsia="en-US" w:bidi="ar-SA"/>
      </w:rPr>
    </w:lvl>
    <w:lvl w:ilvl="3" w:tplc="A83C995A">
      <w:numFmt w:val="bullet"/>
      <w:lvlText w:val="•"/>
      <w:lvlJc w:val="left"/>
      <w:pPr>
        <w:ind w:left="3976" w:hanging="360"/>
      </w:pPr>
      <w:rPr>
        <w:rFonts w:hint="default"/>
        <w:lang w:val="es-ES" w:eastAsia="en-US" w:bidi="ar-SA"/>
      </w:rPr>
    </w:lvl>
    <w:lvl w:ilvl="4" w:tplc="7EFA9A78">
      <w:numFmt w:val="bullet"/>
      <w:lvlText w:val="•"/>
      <w:lvlJc w:val="left"/>
      <w:pPr>
        <w:ind w:left="4828" w:hanging="360"/>
      </w:pPr>
      <w:rPr>
        <w:rFonts w:hint="default"/>
        <w:lang w:val="es-ES" w:eastAsia="en-US" w:bidi="ar-SA"/>
      </w:rPr>
    </w:lvl>
    <w:lvl w:ilvl="5" w:tplc="7B667352">
      <w:numFmt w:val="bullet"/>
      <w:lvlText w:val="•"/>
      <w:lvlJc w:val="left"/>
      <w:pPr>
        <w:ind w:left="5680" w:hanging="360"/>
      </w:pPr>
      <w:rPr>
        <w:rFonts w:hint="default"/>
        <w:lang w:val="es-ES" w:eastAsia="en-US" w:bidi="ar-SA"/>
      </w:rPr>
    </w:lvl>
    <w:lvl w:ilvl="6" w:tplc="8C96CA9C">
      <w:numFmt w:val="bullet"/>
      <w:lvlText w:val="•"/>
      <w:lvlJc w:val="left"/>
      <w:pPr>
        <w:ind w:left="6532" w:hanging="360"/>
      </w:pPr>
      <w:rPr>
        <w:rFonts w:hint="default"/>
        <w:lang w:val="es-ES" w:eastAsia="en-US" w:bidi="ar-SA"/>
      </w:rPr>
    </w:lvl>
    <w:lvl w:ilvl="7" w:tplc="57C82B8C">
      <w:numFmt w:val="bullet"/>
      <w:lvlText w:val="•"/>
      <w:lvlJc w:val="left"/>
      <w:pPr>
        <w:ind w:left="7384" w:hanging="360"/>
      </w:pPr>
      <w:rPr>
        <w:rFonts w:hint="default"/>
        <w:lang w:val="es-ES" w:eastAsia="en-US" w:bidi="ar-SA"/>
      </w:rPr>
    </w:lvl>
    <w:lvl w:ilvl="8" w:tplc="1988B9E4">
      <w:numFmt w:val="bullet"/>
      <w:lvlText w:val="•"/>
      <w:lvlJc w:val="left"/>
      <w:pPr>
        <w:ind w:left="8236" w:hanging="360"/>
      </w:pPr>
      <w:rPr>
        <w:rFonts w:hint="default"/>
        <w:lang w:val="es-ES" w:eastAsia="en-US" w:bidi="ar-SA"/>
      </w:rPr>
    </w:lvl>
  </w:abstractNum>
  <w:abstractNum w:abstractNumId="19"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B06CF0"/>
    <w:multiLevelType w:val="hybridMultilevel"/>
    <w:tmpl w:val="E6FE2C92"/>
    <w:lvl w:ilvl="0" w:tplc="49B07156">
      <w:numFmt w:val="bullet"/>
      <w:lvlText w:val="-"/>
      <w:lvlJc w:val="left"/>
      <w:pPr>
        <w:ind w:left="828" w:hanging="361"/>
      </w:pPr>
      <w:rPr>
        <w:rFonts w:ascii="Arial MT" w:eastAsia="Arial MT" w:hAnsi="Arial MT" w:cs="Arial MT" w:hint="default"/>
        <w:w w:val="99"/>
        <w:sz w:val="20"/>
        <w:szCs w:val="20"/>
        <w:lang w:val="es-ES" w:eastAsia="en-US" w:bidi="ar-SA"/>
      </w:rPr>
    </w:lvl>
    <w:lvl w:ilvl="1" w:tplc="619618A0">
      <w:numFmt w:val="bullet"/>
      <w:lvlText w:val="•"/>
      <w:lvlJc w:val="left"/>
      <w:pPr>
        <w:ind w:left="996" w:hanging="361"/>
      </w:pPr>
      <w:rPr>
        <w:rFonts w:hint="default"/>
        <w:lang w:val="es-ES" w:eastAsia="en-US" w:bidi="ar-SA"/>
      </w:rPr>
    </w:lvl>
    <w:lvl w:ilvl="2" w:tplc="F5709230">
      <w:numFmt w:val="bullet"/>
      <w:lvlText w:val="•"/>
      <w:lvlJc w:val="left"/>
      <w:pPr>
        <w:ind w:left="1173" w:hanging="361"/>
      </w:pPr>
      <w:rPr>
        <w:rFonts w:hint="default"/>
        <w:lang w:val="es-ES" w:eastAsia="en-US" w:bidi="ar-SA"/>
      </w:rPr>
    </w:lvl>
    <w:lvl w:ilvl="3" w:tplc="CAA2434A">
      <w:numFmt w:val="bullet"/>
      <w:lvlText w:val="•"/>
      <w:lvlJc w:val="left"/>
      <w:pPr>
        <w:ind w:left="1349" w:hanging="361"/>
      </w:pPr>
      <w:rPr>
        <w:rFonts w:hint="default"/>
        <w:lang w:val="es-ES" w:eastAsia="en-US" w:bidi="ar-SA"/>
      </w:rPr>
    </w:lvl>
    <w:lvl w:ilvl="4" w:tplc="F8C2C9E6">
      <w:numFmt w:val="bullet"/>
      <w:lvlText w:val="•"/>
      <w:lvlJc w:val="left"/>
      <w:pPr>
        <w:ind w:left="1526" w:hanging="361"/>
      </w:pPr>
      <w:rPr>
        <w:rFonts w:hint="default"/>
        <w:lang w:val="es-ES" w:eastAsia="en-US" w:bidi="ar-SA"/>
      </w:rPr>
    </w:lvl>
    <w:lvl w:ilvl="5" w:tplc="10200AAC">
      <w:numFmt w:val="bullet"/>
      <w:lvlText w:val="•"/>
      <w:lvlJc w:val="left"/>
      <w:pPr>
        <w:ind w:left="1702" w:hanging="361"/>
      </w:pPr>
      <w:rPr>
        <w:rFonts w:hint="default"/>
        <w:lang w:val="es-ES" w:eastAsia="en-US" w:bidi="ar-SA"/>
      </w:rPr>
    </w:lvl>
    <w:lvl w:ilvl="6" w:tplc="ED20761A">
      <w:numFmt w:val="bullet"/>
      <w:lvlText w:val="•"/>
      <w:lvlJc w:val="left"/>
      <w:pPr>
        <w:ind w:left="1879" w:hanging="361"/>
      </w:pPr>
      <w:rPr>
        <w:rFonts w:hint="default"/>
        <w:lang w:val="es-ES" w:eastAsia="en-US" w:bidi="ar-SA"/>
      </w:rPr>
    </w:lvl>
    <w:lvl w:ilvl="7" w:tplc="6322884C">
      <w:numFmt w:val="bullet"/>
      <w:lvlText w:val="•"/>
      <w:lvlJc w:val="left"/>
      <w:pPr>
        <w:ind w:left="2055" w:hanging="361"/>
      </w:pPr>
      <w:rPr>
        <w:rFonts w:hint="default"/>
        <w:lang w:val="es-ES" w:eastAsia="en-US" w:bidi="ar-SA"/>
      </w:rPr>
    </w:lvl>
    <w:lvl w:ilvl="8" w:tplc="6418422C">
      <w:numFmt w:val="bullet"/>
      <w:lvlText w:val="•"/>
      <w:lvlJc w:val="left"/>
      <w:pPr>
        <w:ind w:left="2232" w:hanging="361"/>
      </w:pPr>
      <w:rPr>
        <w:rFonts w:hint="default"/>
        <w:lang w:val="es-ES" w:eastAsia="en-US" w:bidi="ar-SA"/>
      </w:rPr>
    </w:lvl>
  </w:abstractNum>
  <w:abstractNum w:abstractNumId="21"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06C28A7"/>
    <w:multiLevelType w:val="hybridMultilevel"/>
    <w:tmpl w:val="A03E09EA"/>
    <w:lvl w:ilvl="0" w:tplc="3DA42AA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0154CE"/>
    <w:multiLevelType w:val="hybridMultilevel"/>
    <w:tmpl w:val="4D08901E"/>
    <w:lvl w:ilvl="0" w:tplc="34D08F88">
      <w:numFmt w:val="bullet"/>
      <w:lvlText w:val="-"/>
      <w:lvlJc w:val="left"/>
      <w:pPr>
        <w:ind w:left="828" w:hanging="361"/>
      </w:pPr>
      <w:rPr>
        <w:rFonts w:ascii="Arial MT" w:eastAsia="Arial MT" w:hAnsi="Arial MT" w:cs="Arial MT" w:hint="default"/>
        <w:w w:val="99"/>
        <w:sz w:val="20"/>
        <w:szCs w:val="20"/>
        <w:lang w:val="es-ES" w:eastAsia="en-US" w:bidi="ar-SA"/>
      </w:rPr>
    </w:lvl>
    <w:lvl w:ilvl="1" w:tplc="C2E092B8">
      <w:numFmt w:val="bullet"/>
      <w:lvlText w:val="•"/>
      <w:lvlJc w:val="left"/>
      <w:pPr>
        <w:ind w:left="996" w:hanging="361"/>
      </w:pPr>
      <w:rPr>
        <w:rFonts w:hint="default"/>
        <w:lang w:val="es-ES" w:eastAsia="en-US" w:bidi="ar-SA"/>
      </w:rPr>
    </w:lvl>
    <w:lvl w:ilvl="2" w:tplc="3AD2DF22">
      <w:numFmt w:val="bullet"/>
      <w:lvlText w:val="•"/>
      <w:lvlJc w:val="left"/>
      <w:pPr>
        <w:ind w:left="1173" w:hanging="361"/>
      </w:pPr>
      <w:rPr>
        <w:rFonts w:hint="default"/>
        <w:lang w:val="es-ES" w:eastAsia="en-US" w:bidi="ar-SA"/>
      </w:rPr>
    </w:lvl>
    <w:lvl w:ilvl="3" w:tplc="C1A67092">
      <w:numFmt w:val="bullet"/>
      <w:lvlText w:val="•"/>
      <w:lvlJc w:val="left"/>
      <w:pPr>
        <w:ind w:left="1349" w:hanging="361"/>
      </w:pPr>
      <w:rPr>
        <w:rFonts w:hint="default"/>
        <w:lang w:val="es-ES" w:eastAsia="en-US" w:bidi="ar-SA"/>
      </w:rPr>
    </w:lvl>
    <w:lvl w:ilvl="4" w:tplc="2E3AC1BA">
      <w:numFmt w:val="bullet"/>
      <w:lvlText w:val="•"/>
      <w:lvlJc w:val="left"/>
      <w:pPr>
        <w:ind w:left="1526" w:hanging="361"/>
      </w:pPr>
      <w:rPr>
        <w:rFonts w:hint="default"/>
        <w:lang w:val="es-ES" w:eastAsia="en-US" w:bidi="ar-SA"/>
      </w:rPr>
    </w:lvl>
    <w:lvl w:ilvl="5" w:tplc="78468DE4">
      <w:numFmt w:val="bullet"/>
      <w:lvlText w:val="•"/>
      <w:lvlJc w:val="left"/>
      <w:pPr>
        <w:ind w:left="1702" w:hanging="361"/>
      </w:pPr>
      <w:rPr>
        <w:rFonts w:hint="default"/>
        <w:lang w:val="es-ES" w:eastAsia="en-US" w:bidi="ar-SA"/>
      </w:rPr>
    </w:lvl>
    <w:lvl w:ilvl="6" w:tplc="C82A9A04">
      <w:numFmt w:val="bullet"/>
      <w:lvlText w:val="•"/>
      <w:lvlJc w:val="left"/>
      <w:pPr>
        <w:ind w:left="1879" w:hanging="361"/>
      </w:pPr>
      <w:rPr>
        <w:rFonts w:hint="default"/>
        <w:lang w:val="es-ES" w:eastAsia="en-US" w:bidi="ar-SA"/>
      </w:rPr>
    </w:lvl>
    <w:lvl w:ilvl="7" w:tplc="FC1A2972">
      <w:numFmt w:val="bullet"/>
      <w:lvlText w:val="•"/>
      <w:lvlJc w:val="left"/>
      <w:pPr>
        <w:ind w:left="2055" w:hanging="361"/>
      </w:pPr>
      <w:rPr>
        <w:rFonts w:hint="default"/>
        <w:lang w:val="es-ES" w:eastAsia="en-US" w:bidi="ar-SA"/>
      </w:rPr>
    </w:lvl>
    <w:lvl w:ilvl="8" w:tplc="79EA7C62">
      <w:numFmt w:val="bullet"/>
      <w:lvlText w:val="•"/>
      <w:lvlJc w:val="left"/>
      <w:pPr>
        <w:ind w:left="2232" w:hanging="361"/>
      </w:pPr>
      <w:rPr>
        <w:rFonts w:hint="default"/>
        <w:lang w:val="es-ES" w:eastAsia="en-US" w:bidi="ar-SA"/>
      </w:rPr>
    </w:lvl>
  </w:abstractNum>
  <w:abstractNum w:abstractNumId="2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DC1B2F"/>
    <w:multiLevelType w:val="hybridMultilevel"/>
    <w:tmpl w:val="8F28732A"/>
    <w:lvl w:ilvl="0" w:tplc="3DA42AA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55673B"/>
    <w:multiLevelType w:val="hybridMultilevel"/>
    <w:tmpl w:val="B6E04250"/>
    <w:lvl w:ilvl="0" w:tplc="F3FCAEEC">
      <w:numFmt w:val="bullet"/>
      <w:lvlText w:val="-"/>
      <w:lvlJc w:val="left"/>
      <w:pPr>
        <w:ind w:left="840" w:hanging="48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83269E9"/>
    <w:multiLevelType w:val="multilevel"/>
    <w:tmpl w:val="96AC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7"/>
  </w:num>
  <w:num w:numId="13">
    <w:abstractNumId w:val="19"/>
  </w:num>
  <w:num w:numId="14">
    <w:abstractNumId w:val="28"/>
  </w:num>
  <w:num w:numId="15">
    <w:abstractNumId w:val="31"/>
  </w:num>
  <w:num w:numId="16">
    <w:abstractNumId w:val="30"/>
  </w:num>
  <w:num w:numId="17">
    <w:abstractNumId w:val="17"/>
  </w:num>
  <w:num w:numId="18">
    <w:abstractNumId w:val="19"/>
    <w:lvlOverride w:ilvl="0">
      <w:startOverride w:val="1"/>
    </w:lvlOverride>
  </w:num>
  <w:num w:numId="19">
    <w:abstractNumId w:val="26"/>
  </w:num>
  <w:num w:numId="20">
    <w:abstractNumId w:val="25"/>
  </w:num>
  <w:num w:numId="21">
    <w:abstractNumId w:val="22"/>
  </w:num>
  <w:num w:numId="22">
    <w:abstractNumId w:val="21"/>
  </w:num>
  <w:num w:numId="23">
    <w:abstractNumId w:val="33"/>
  </w:num>
  <w:num w:numId="24">
    <w:abstractNumId w:val="18"/>
  </w:num>
  <w:num w:numId="25">
    <w:abstractNumId w:val="24"/>
  </w:num>
  <w:num w:numId="26">
    <w:abstractNumId w:val="15"/>
  </w:num>
  <w:num w:numId="27">
    <w:abstractNumId w:val="13"/>
  </w:num>
  <w:num w:numId="28">
    <w:abstractNumId w:val="20"/>
  </w:num>
  <w:num w:numId="29">
    <w:abstractNumId w:val="11"/>
  </w:num>
  <w:num w:numId="30">
    <w:abstractNumId w:val="14"/>
  </w:num>
  <w:num w:numId="31">
    <w:abstractNumId w:val="10"/>
  </w:num>
  <w:num w:numId="32">
    <w:abstractNumId w:val="12"/>
  </w:num>
  <w:num w:numId="33">
    <w:abstractNumId w:val="29"/>
  </w:num>
  <w:num w:numId="34">
    <w:abstractNumId w:val="2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0DA8"/>
    <w:rsid w:val="000027C0"/>
    <w:rsid w:val="000052FB"/>
    <w:rsid w:val="0001104D"/>
    <w:rsid w:val="00011150"/>
    <w:rsid w:val="000117CB"/>
    <w:rsid w:val="00011B55"/>
    <w:rsid w:val="00011EE0"/>
    <w:rsid w:val="000225CB"/>
    <w:rsid w:val="0003148D"/>
    <w:rsid w:val="00031BDA"/>
    <w:rsid w:val="00031EEC"/>
    <w:rsid w:val="00037FC4"/>
    <w:rsid w:val="00046A58"/>
    <w:rsid w:val="00051566"/>
    <w:rsid w:val="00052669"/>
    <w:rsid w:val="0005585A"/>
    <w:rsid w:val="00062A9A"/>
    <w:rsid w:val="00065058"/>
    <w:rsid w:val="00065EB2"/>
    <w:rsid w:val="000775DA"/>
    <w:rsid w:val="0007770D"/>
    <w:rsid w:val="000777E4"/>
    <w:rsid w:val="00077BD2"/>
    <w:rsid w:val="0008170E"/>
    <w:rsid w:val="00081B7C"/>
    <w:rsid w:val="000835C6"/>
    <w:rsid w:val="00086C39"/>
    <w:rsid w:val="00091609"/>
    <w:rsid w:val="00092462"/>
    <w:rsid w:val="000A03B2"/>
    <w:rsid w:val="000A0CEF"/>
    <w:rsid w:val="000A0E96"/>
    <w:rsid w:val="000A6153"/>
    <w:rsid w:val="000A69FA"/>
    <w:rsid w:val="000B24AF"/>
    <w:rsid w:val="000B30E9"/>
    <w:rsid w:val="000C4802"/>
    <w:rsid w:val="000D0268"/>
    <w:rsid w:val="000D1295"/>
    <w:rsid w:val="000D34BE"/>
    <w:rsid w:val="000D3C4F"/>
    <w:rsid w:val="000E102F"/>
    <w:rsid w:val="000E2E0A"/>
    <w:rsid w:val="000E36F1"/>
    <w:rsid w:val="000E3A73"/>
    <w:rsid w:val="000E414A"/>
    <w:rsid w:val="000F093C"/>
    <w:rsid w:val="000F14CC"/>
    <w:rsid w:val="000F61FA"/>
    <w:rsid w:val="000F787B"/>
    <w:rsid w:val="00101C8E"/>
    <w:rsid w:val="00106C47"/>
    <w:rsid w:val="00106F4F"/>
    <w:rsid w:val="001100A0"/>
    <w:rsid w:val="0011155B"/>
    <w:rsid w:val="00111E1E"/>
    <w:rsid w:val="0012091F"/>
    <w:rsid w:val="00125A2E"/>
    <w:rsid w:val="00125B89"/>
    <w:rsid w:val="00125FB0"/>
    <w:rsid w:val="00126BC2"/>
    <w:rsid w:val="001308B6"/>
    <w:rsid w:val="0013121F"/>
    <w:rsid w:val="00131FE6"/>
    <w:rsid w:val="001324C2"/>
    <w:rsid w:val="0013263F"/>
    <w:rsid w:val="00132DED"/>
    <w:rsid w:val="001331DF"/>
    <w:rsid w:val="00134DE4"/>
    <w:rsid w:val="001355B7"/>
    <w:rsid w:val="0014034D"/>
    <w:rsid w:val="00141B43"/>
    <w:rsid w:val="00144D16"/>
    <w:rsid w:val="00150E59"/>
    <w:rsid w:val="00152DE3"/>
    <w:rsid w:val="00162BE8"/>
    <w:rsid w:val="00164CF9"/>
    <w:rsid w:val="00165801"/>
    <w:rsid w:val="001667A6"/>
    <w:rsid w:val="001717DB"/>
    <w:rsid w:val="001736A1"/>
    <w:rsid w:val="001741CE"/>
    <w:rsid w:val="00182221"/>
    <w:rsid w:val="0018288B"/>
    <w:rsid w:val="00184AD6"/>
    <w:rsid w:val="001853FD"/>
    <w:rsid w:val="00187B38"/>
    <w:rsid w:val="001927B6"/>
    <w:rsid w:val="001930C5"/>
    <w:rsid w:val="0019311F"/>
    <w:rsid w:val="001933BA"/>
    <w:rsid w:val="001A22C2"/>
    <w:rsid w:val="001A3B47"/>
    <w:rsid w:val="001A4AF7"/>
    <w:rsid w:val="001B0349"/>
    <w:rsid w:val="001B1E93"/>
    <w:rsid w:val="001B65C1"/>
    <w:rsid w:val="001B72B9"/>
    <w:rsid w:val="001C684B"/>
    <w:rsid w:val="001C6FD6"/>
    <w:rsid w:val="001D0CFB"/>
    <w:rsid w:val="001D458D"/>
    <w:rsid w:val="001D51CC"/>
    <w:rsid w:val="001D53FC"/>
    <w:rsid w:val="001D663B"/>
    <w:rsid w:val="001E4F74"/>
    <w:rsid w:val="001F2C1B"/>
    <w:rsid w:val="001F42A5"/>
    <w:rsid w:val="001F4A70"/>
    <w:rsid w:val="001F7B9D"/>
    <w:rsid w:val="002012BA"/>
    <w:rsid w:val="00201C93"/>
    <w:rsid w:val="00214AFF"/>
    <w:rsid w:val="00215400"/>
    <w:rsid w:val="002224B4"/>
    <w:rsid w:val="00224574"/>
    <w:rsid w:val="00227419"/>
    <w:rsid w:val="00232852"/>
    <w:rsid w:val="00240CAE"/>
    <w:rsid w:val="00241A19"/>
    <w:rsid w:val="00244280"/>
    <w:rsid w:val="002447EF"/>
    <w:rsid w:val="00245DFD"/>
    <w:rsid w:val="00250FCC"/>
    <w:rsid w:val="00251550"/>
    <w:rsid w:val="00253617"/>
    <w:rsid w:val="00261755"/>
    <w:rsid w:val="00263B05"/>
    <w:rsid w:val="00263C30"/>
    <w:rsid w:val="00270F77"/>
    <w:rsid w:val="00270FC6"/>
    <w:rsid w:val="0027221A"/>
    <w:rsid w:val="00275B61"/>
    <w:rsid w:val="00280426"/>
    <w:rsid w:val="00280FAF"/>
    <w:rsid w:val="002822EB"/>
    <w:rsid w:val="00282656"/>
    <w:rsid w:val="002954DB"/>
    <w:rsid w:val="00296B83"/>
    <w:rsid w:val="002A209F"/>
    <w:rsid w:val="002B1CC6"/>
    <w:rsid w:val="002B4015"/>
    <w:rsid w:val="002B78CE"/>
    <w:rsid w:val="002C2FB6"/>
    <w:rsid w:val="002C38EE"/>
    <w:rsid w:val="002C61FD"/>
    <w:rsid w:val="002C7C63"/>
    <w:rsid w:val="002D5434"/>
    <w:rsid w:val="002E0D4E"/>
    <w:rsid w:val="002E5FA7"/>
    <w:rsid w:val="002F137B"/>
    <w:rsid w:val="002F3309"/>
    <w:rsid w:val="003008CE"/>
    <w:rsid w:val="003009B7"/>
    <w:rsid w:val="00300CD3"/>
    <w:rsid w:val="00300E56"/>
    <w:rsid w:val="0030469C"/>
    <w:rsid w:val="00305699"/>
    <w:rsid w:val="003144FC"/>
    <w:rsid w:val="00317FB9"/>
    <w:rsid w:val="00321CA6"/>
    <w:rsid w:val="00323763"/>
    <w:rsid w:val="00326A7C"/>
    <w:rsid w:val="00331CFE"/>
    <w:rsid w:val="0033458E"/>
    <w:rsid w:val="00334C09"/>
    <w:rsid w:val="00340B37"/>
    <w:rsid w:val="0034293B"/>
    <w:rsid w:val="003478E9"/>
    <w:rsid w:val="00347B03"/>
    <w:rsid w:val="0035584B"/>
    <w:rsid w:val="00360514"/>
    <w:rsid w:val="00360BE3"/>
    <w:rsid w:val="003703F0"/>
    <w:rsid w:val="0037219D"/>
    <w:rsid w:val="003723D4"/>
    <w:rsid w:val="00375FEB"/>
    <w:rsid w:val="00381905"/>
    <w:rsid w:val="00384CC8"/>
    <w:rsid w:val="00386739"/>
    <w:rsid w:val="00386CC7"/>
    <w:rsid w:val="003871FD"/>
    <w:rsid w:val="00392348"/>
    <w:rsid w:val="00396521"/>
    <w:rsid w:val="003A1DA9"/>
    <w:rsid w:val="003A1E30"/>
    <w:rsid w:val="003A2829"/>
    <w:rsid w:val="003A7D1C"/>
    <w:rsid w:val="003B19F3"/>
    <w:rsid w:val="003B304B"/>
    <w:rsid w:val="003B3146"/>
    <w:rsid w:val="003C0F3A"/>
    <w:rsid w:val="003C41CE"/>
    <w:rsid w:val="003D304A"/>
    <w:rsid w:val="003D31AC"/>
    <w:rsid w:val="003D3C77"/>
    <w:rsid w:val="003D5B04"/>
    <w:rsid w:val="003E5C1A"/>
    <w:rsid w:val="003E665B"/>
    <w:rsid w:val="003E6FF6"/>
    <w:rsid w:val="003F015E"/>
    <w:rsid w:val="003F0B65"/>
    <w:rsid w:val="003F60B5"/>
    <w:rsid w:val="003F6FF5"/>
    <w:rsid w:val="00400414"/>
    <w:rsid w:val="00402D21"/>
    <w:rsid w:val="00403C6D"/>
    <w:rsid w:val="00407296"/>
    <w:rsid w:val="00410DE0"/>
    <w:rsid w:val="00412E90"/>
    <w:rsid w:val="004131FA"/>
    <w:rsid w:val="0041446B"/>
    <w:rsid w:val="004235CD"/>
    <w:rsid w:val="00431392"/>
    <w:rsid w:val="00440441"/>
    <w:rsid w:val="00441D3B"/>
    <w:rsid w:val="0044329C"/>
    <w:rsid w:val="00452376"/>
    <w:rsid w:val="00453124"/>
    <w:rsid w:val="00453E24"/>
    <w:rsid w:val="00457456"/>
    <w:rsid w:val="004577FE"/>
    <w:rsid w:val="00457B9C"/>
    <w:rsid w:val="00460C23"/>
    <w:rsid w:val="0046164A"/>
    <w:rsid w:val="004628D2"/>
    <w:rsid w:val="00462DCD"/>
    <w:rsid w:val="004648AD"/>
    <w:rsid w:val="004703A9"/>
    <w:rsid w:val="00472DC2"/>
    <w:rsid w:val="004760DE"/>
    <w:rsid w:val="004763D7"/>
    <w:rsid w:val="00481B05"/>
    <w:rsid w:val="00492275"/>
    <w:rsid w:val="00496A65"/>
    <w:rsid w:val="004A004E"/>
    <w:rsid w:val="004A19C2"/>
    <w:rsid w:val="004A24CF"/>
    <w:rsid w:val="004B439D"/>
    <w:rsid w:val="004B4F88"/>
    <w:rsid w:val="004C3146"/>
    <w:rsid w:val="004C3D1D"/>
    <w:rsid w:val="004C60C9"/>
    <w:rsid w:val="004C6691"/>
    <w:rsid w:val="004C7913"/>
    <w:rsid w:val="004D51D1"/>
    <w:rsid w:val="004D55C0"/>
    <w:rsid w:val="004D6782"/>
    <w:rsid w:val="004E016F"/>
    <w:rsid w:val="004E1003"/>
    <w:rsid w:val="004E4DD6"/>
    <w:rsid w:val="004F0F8C"/>
    <w:rsid w:val="004F5E36"/>
    <w:rsid w:val="00504F69"/>
    <w:rsid w:val="0050515E"/>
    <w:rsid w:val="005063CA"/>
    <w:rsid w:val="00506720"/>
    <w:rsid w:val="00506855"/>
    <w:rsid w:val="00507B47"/>
    <w:rsid w:val="00507BEF"/>
    <w:rsid w:val="00507CC9"/>
    <w:rsid w:val="005113FA"/>
    <w:rsid w:val="005119A5"/>
    <w:rsid w:val="0051595C"/>
    <w:rsid w:val="00517A75"/>
    <w:rsid w:val="00521643"/>
    <w:rsid w:val="0052452E"/>
    <w:rsid w:val="005278B7"/>
    <w:rsid w:val="00532016"/>
    <w:rsid w:val="005346C8"/>
    <w:rsid w:val="005423DC"/>
    <w:rsid w:val="0054257F"/>
    <w:rsid w:val="00542C47"/>
    <w:rsid w:val="00543358"/>
    <w:rsid w:val="0054381F"/>
    <w:rsid w:val="00543E7D"/>
    <w:rsid w:val="00544D65"/>
    <w:rsid w:val="00547141"/>
    <w:rsid w:val="00547A68"/>
    <w:rsid w:val="005531C9"/>
    <w:rsid w:val="00562C28"/>
    <w:rsid w:val="00565A0C"/>
    <w:rsid w:val="00566C44"/>
    <w:rsid w:val="00570C43"/>
    <w:rsid w:val="00571F75"/>
    <w:rsid w:val="00573243"/>
    <w:rsid w:val="00584E13"/>
    <w:rsid w:val="00587697"/>
    <w:rsid w:val="00591F14"/>
    <w:rsid w:val="005A6681"/>
    <w:rsid w:val="005B2110"/>
    <w:rsid w:val="005B61E6"/>
    <w:rsid w:val="005C3720"/>
    <w:rsid w:val="005C77E1"/>
    <w:rsid w:val="005C7FDA"/>
    <w:rsid w:val="005D4AD9"/>
    <w:rsid w:val="005D5149"/>
    <w:rsid w:val="005D668A"/>
    <w:rsid w:val="005D6A2F"/>
    <w:rsid w:val="005E1A82"/>
    <w:rsid w:val="005E794C"/>
    <w:rsid w:val="005F0A28"/>
    <w:rsid w:val="005F0E5E"/>
    <w:rsid w:val="00600535"/>
    <w:rsid w:val="00601BBE"/>
    <w:rsid w:val="00603ADA"/>
    <w:rsid w:val="00610CD6"/>
    <w:rsid w:val="00620590"/>
    <w:rsid w:val="00620DEE"/>
    <w:rsid w:val="00621F92"/>
    <w:rsid w:val="0062280A"/>
    <w:rsid w:val="00625639"/>
    <w:rsid w:val="006275B1"/>
    <w:rsid w:val="00631B33"/>
    <w:rsid w:val="00640C11"/>
    <w:rsid w:val="0064184D"/>
    <w:rsid w:val="006422CC"/>
    <w:rsid w:val="00650EFE"/>
    <w:rsid w:val="006542BB"/>
    <w:rsid w:val="00656414"/>
    <w:rsid w:val="00660E3E"/>
    <w:rsid w:val="00662E74"/>
    <w:rsid w:val="00662EB6"/>
    <w:rsid w:val="0067390F"/>
    <w:rsid w:val="0067710D"/>
    <w:rsid w:val="00680C23"/>
    <w:rsid w:val="00683F8A"/>
    <w:rsid w:val="00690FE3"/>
    <w:rsid w:val="0069232E"/>
    <w:rsid w:val="00693766"/>
    <w:rsid w:val="0069525E"/>
    <w:rsid w:val="00696E6F"/>
    <w:rsid w:val="006A1D9D"/>
    <w:rsid w:val="006A3281"/>
    <w:rsid w:val="006A75B9"/>
    <w:rsid w:val="006B4161"/>
    <w:rsid w:val="006B4888"/>
    <w:rsid w:val="006B4EA3"/>
    <w:rsid w:val="006B749A"/>
    <w:rsid w:val="006C0604"/>
    <w:rsid w:val="006C2E45"/>
    <w:rsid w:val="006C359C"/>
    <w:rsid w:val="006C5579"/>
    <w:rsid w:val="006D127C"/>
    <w:rsid w:val="006D1D7B"/>
    <w:rsid w:val="006D21A2"/>
    <w:rsid w:val="006D6E8B"/>
    <w:rsid w:val="006E5E4D"/>
    <w:rsid w:val="006E737D"/>
    <w:rsid w:val="006F242F"/>
    <w:rsid w:val="006F2D5D"/>
    <w:rsid w:val="006F453E"/>
    <w:rsid w:val="0071075E"/>
    <w:rsid w:val="00713973"/>
    <w:rsid w:val="00715485"/>
    <w:rsid w:val="00720A24"/>
    <w:rsid w:val="00722A8F"/>
    <w:rsid w:val="00723BE5"/>
    <w:rsid w:val="00732386"/>
    <w:rsid w:val="0073514D"/>
    <w:rsid w:val="007407F6"/>
    <w:rsid w:val="00744410"/>
    <w:rsid w:val="00744763"/>
    <w:rsid w:val="007447F3"/>
    <w:rsid w:val="0075499F"/>
    <w:rsid w:val="007570F5"/>
    <w:rsid w:val="00765130"/>
    <w:rsid w:val="007661C8"/>
    <w:rsid w:val="00770797"/>
    <w:rsid w:val="0077098D"/>
    <w:rsid w:val="00775FCC"/>
    <w:rsid w:val="007858D0"/>
    <w:rsid w:val="007872DC"/>
    <w:rsid w:val="00792525"/>
    <w:rsid w:val="007931FA"/>
    <w:rsid w:val="00797B49"/>
    <w:rsid w:val="007A4861"/>
    <w:rsid w:val="007A4952"/>
    <w:rsid w:val="007A7BBA"/>
    <w:rsid w:val="007B0578"/>
    <w:rsid w:val="007B0C50"/>
    <w:rsid w:val="007B48F9"/>
    <w:rsid w:val="007B4D77"/>
    <w:rsid w:val="007B573F"/>
    <w:rsid w:val="007C1A43"/>
    <w:rsid w:val="007C54CB"/>
    <w:rsid w:val="007D6858"/>
    <w:rsid w:val="007D73E1"/>
    <w:rsid w:val="007E1601"/>
    <w:rsid w:val="0080013E"/>
    <w:rsid w:val="00802ED8"/>
    <w:rsid w:val="00806930"/>
    <w:rsid w:val="008072B1"/>
    <w:rsid w:val="00807C84"/>
    <w:rsid w:val="00813288"/>
    <w:rsid w:val="008160FC"/>
    <w:rsid w:val="0081682A"/>
    <w:rsid w:val="008168FC"/>
    <w:rsid w:val="0082414A"/>
    <w:rsid w:val="0082534E"/>
    <w:rsid w:val="00830996"/>
    <w:rsid w:val="008345F1"/>
    <w:rsid w:val="0085204F"/>
    <w:rsid w:val="008650F1"/>
    <w:rsid w:val="00865B07"/>
    <w:rsid w:val="008667EA"/>
    <w:rsid w:val="0087129E"/>
    <w:rsid w:val="00871973"/>
    <w:rsid w:val="00872DD2"/>
    <w:rsid w:val="0087637F"/>
    <w:rsid w:val="008768CD"/>
    <w:rsid w:val="00880073"/>
    <w:rsid w:val="0088678D"/>
    <w:rsid w:val="00892AD5"/>
    <w:rsid w:val="008A1512"/>
    <w:rsid w:val="008A223A"/>
    <w:rsid w:val="008A55CA"/>
    <w:rsid w:val="008A563D"/>
    <w:rsid w:val="008B4EDB"/>
    <w:rsid w:val="008D05C6"/>
    <w:rsid w:val="008D12C9"/>
    <w:rsid w:val="008D1BB5"/>
    <w:rsid w:val="008D32B9"/>
    <w:rsid w:val="008D433B"/>
    <w:rsid w:val="008D54FD"/>
    <w:rsid w:val="008D5659"/>
    <w:rsid w:val="008D7252"/>
    <w:rsid w:val="008E5222"/>
    <w:rsid w:val="008E566E"/>
    <w:rsid w:val="008F1A11"/>
    <w:rsid w:val="008F5F07"/>
    <w:rsid w:val="00900B87"/>
    <w:rsid w:val="0090161A"/>
    <w:rsid w:val="00901EB6"/>
    <w:rsid w:val="00904C62"/>
    <w:rsid w:val="00905768"/>
    <w:rsid w:val="00922BA8"/>
    <w:rsid w:val="00924DAC"/>
    <w:rsid w:val="009259FE"/>
    <w:rsid w:val="00927058"/>
    <w:rsid w:val="009364BD"/>
    <w:rsid w:val="00942750"/>
    <w:rsid w:val="009450CE"/>
    <w:rsid w:val="00947179"/>
    <w:rsid w:val="0095164B"/>
    <w:rsid w:val="00954090"/>
    <w:rsid w:val="009573E7"/>
    <w:rsid w:val="00963E05"/>
    <w:rsid w:val="0096706D"/>
    <w:rsid w:val="00967843"/>
    <w:rsid w:val="00967D54"/>
    <w:rsid w:val="00971028"/>
    <w:rsid w:val="00971EC1"/>
    <w:rsid w:val="0097529B"/>
    <w:rsid w:val="009772C8"/>
    <w:rsid w:val="00977B19"/>
    <w:rsid w:val="00993B84"/>
    <w:rsid w:val="00996483"/>
    <w:rsid w:val="00996F5A"/>
    <w:rsid w:val="009A750F"/>
    <w:rsid w:val="009B041A"/>
    <w:rsid w:val="009C030D"/>
    <w:rsid w:val="009C0CCD"/>
    <w:rsid w:val="009C11F2"/>
    <w:rsid w:val="009C23D6"/>
    <w:rsid w:val="009C37C3"/>
    <w:rsid w:val="009C4C42"/>
    <w:rsid w:val="009C5D1A"/>
    <w:rsid w:val="009C6EE6"/>
    <w:rsid w:val="009C7C86"/>
    <w:rsid w:val="009D11B2"/>
    <w:rsid w:val="009D2FF7"/>
    <w:rsid w:val="009D57E6"/>
    <w:rsid w:val="009E0D3C"/>
    <w:rsid w:val="009E1BA8"/>
    <w:rsid w:val="009E4341"/>
    <w:rsid w:val="009E7884"/>
    <w:rsid w:val="009E788A"/>
    <w:rsid w:val="009F030E"/>
    <w:rsid w:val="009F0E08"/>
    <w:rsid w:val="009F680D"/>
    <w:rsid w:val="009F7626"/>
    <w:rsid w:val="00A14923"/>
    <w:rsid w:val="00A163E8"/>
    <w:rsid w:val="00A1763D"/>
    <w:rsid w:val="00A17CEC"/>
    <w:rsid w:val="00A27EF0"/>
    <w:rsid w:val="00A32152"/>
    <w:rsid w:val="00A37551"/>
    <w:rsid w:val="00A42361"/>
    <w:rsid w:val="00A47A80"/>
    <w:rsid w:val="00A50B20"/>
    <w:rsid w:val="00A50EEE"/>
    <w:rsid w:val="00A51390"/>
    <w:rsid w:val="00A52DA7"/>
    <w:rsid w:val="00A550A1"/>
    <w:rsid w:val="00A60D13"/>
    <w:rsid w:val="00A62608"/>
    <w:rsid w:val="00A6306C"/>
    <w:rsid w:val="00A6339F"/>
    <w:rsid w:val="00A72745"/>
    <w:rsid w:val="00A74199"/>
    <w:rsid w:val="00A76EFC"/>
    <w:rsid w:val="00A809BF"/>
    <w:rsid w:val="00A80B1A"/>
    <w:rsid w:val="00A872C2"/>
    <w:rsid w:val="00A91010"/>
    <w:rsid w:val="00A9358F"/>
    <w:rsid w:val="00A97F29"/>
    <w:rsid w:val="00AA702E"/>
    <w:rsid w:val="00AA7446"/>
    <w:rsid w:val="00AA7640"/>
    <w:rsid w:val="00AB0964"/>
    <w:rsid w:val="00AB5011"/>
    <w:rsid w:val="00AB7304"/>
    <w:rsid w:val="00AC1E5C"/>
    <w:rsid w:val="00AC3C85"/>
    <w:rsid w:val="00AC4533"/>
    <w:rsid w:val="00AC7368"/>
    <w:rsid w:val="00AC7B7F"/>
    <w:rsid w:val="00AD16B9"/>
    <w:rsid w:val="00AD315E"/>
    <w:rsid w:val="00AE377D"/>
    <w:rsid w:val="00AE4D33"/>
    <w:rsid w:val="00AE55CA"/>
    <w:rsid w:val="00AE7F2F"/>
    <w:rsid w:val="00AF0EBA"/>
    <w:rsid w:val="00AF1025"/>
    <w:rsid w:val="00B02C8A"/>
    <w:rsid w:val="00B17FBD"/>
    <w:rsid w:val="00B257A3"/>
    <w:rsid w:val="00B257D7"/>
    <w:rsid w:val="00B315A6"/>
    <w:rsid w:val="00B31813"/>
    <w:rsid w:val="00B33365"/>
    <w:rsid w:val="00B42766"/>
    <w:rsid w:val="00B433FF"/>
    <w:rsid w:val="00B4797B"/>
    <w:rsid w:val="00B57B36"/>
    <w:rsid w:val="00B57E6F"/>
    <w:rsid w:val="00B703CD"/>
    <w:rsid w:val="00B8686D"/>
    <w:rsid w:val="00B921D0"/>
    <w:rsid w:val="00B93F69"/>
    <w:rsid w:val="00BB1B78"/>
    <w:rsid w:val="00BB1DDC"/>
    <w:rsid w:val="00BB4E85"/>
    <w:rsid w:val="00BC0DBF"/>
    <w:rsid w:val="00BC30C9"/>
    <w:rsid w:val="00BD077D"/>
    <w:rsid w:val="00BD2999"/>
    <w:rsid w:val="00BD5D9F"/>
    <w:rsid w:val="00BD61CF"/>
    <w:rsid w:val="00BE3E58"/>
    <w:rsid w:val="00BE4052"/>
    <w:rsid w:val="00BE6288"/>
    <w:rsid w:val="00BF7ADB"/>
    <w:rsid w:val="00C01616"/>
    <w:rsid w:val="00C0162B"/>
    <w:rsid w:val="00C031D4"/>
    <w:rsid w:val="00C03216"/>
    <w:rsid w:val="00C068ED"/>
    <w:rsid w:val="00C163BE"/>
    <w:rsid w:val="00C22E0C"/>
    <w:rsid w:val="00C345B1"/>
    <w:rsid w:val="00C34D0C"/>
    <w:rsid w:val="00C40142"/>
    <w:rsid w:val="00C40622"/>
    <w:rsid w:val="00C4073D"/>
    <w:rsid w:val="00C40B26"/>
    <w:rsid w:val="00C46D79"/>
    <w:rsid w:val="00C52C3C"/>
    <w:rsid w:val="00C537C4"/>
    <w:rsid w:val="00C57182"/>
    <w:rsid w:val="00C57863"/>
    <w:rsid w:val="00C64644"/>
    <w:rsid w:val="00C651ED"/>
    <w:rsid w:val="00C655FD"/>
    <w:rsid w:val="00C65EC3"/>
    <w:rsid w:val="00C663C4"/>
    <w:rsid w:val="00C6718E"/>
    <w:rsid w:val="00C75407"/>
    <w:rsid w:val="00C7651D"/>
    <w:rsid w:val="00C8204A"/>
    <w:rsid w:val="00C870A8"/>
    <w:rsid w:val="00C94434"/>
    <w:rsid w:val="00C957C8"/>
    <w:rsid w:val="00C97C81"/>
    <w:rsid w:val="00CA0D75"/>
    <w:rsid w:val="00CA1C95"/>
    <w:rsid w:val="00CA5A9C"/>
    <w:rsid w:val="00CA5C4C"/>
    <w:rsid w:val="00CB2C7E"/>
    <w:rsid w:val="00CB50C6"/>
    <w:rsid w:val="00CB51C9"/>
    <w:rsid w:val="00CC480C"/>
    <w:rsid w:val="00CC4C20"/>
    <w:rsid w:val="00CD3517"/>
    <w:rsid w:val="00CD5FE2"/>
    <w:rsid w:val="00CE6EA1"/>
    <w:rsid w:val="00CE7C68"/>
    <w:rsid w:val="00CF523C"/>
    <w:rsid w:val="00D02B4C"/>
    <w:rsid w:val="00D040C4"/>
    <w:rsid w:val="00D11075"/>
    <w:rsid w:val="00D1753E"/>
    <w:rsid w:val="00D208E0"/>
    <w:rsid w:val="00D21186"/>
    <w:rsid w:val="00D229BA"/>
    <w:rsid w:val="00D26D7A"/>
    <w:rsid w:val="00D272B3"/>
    <w:rsid w:val="00D469EA"/>
    <w:rsid w:val="00D46B7E"/>
    <w:rsid w:val="00D578EB"/>
    <w:rsid w:val="00D57C84"/>
    <w:rsid w:val="00D6057D"/>
    <w:rsid w:val="00D60736"/>
    <w:rsid w:val="00D66A14"/>
    <w:rsid w:val="00D66EAB"/>
    <w:rsid w:val="00D72979"/>
    <w:rsid w:val="00D81A94"/>
    <w:rsid w:val="00D836C5"/>
    <w:rsid w:val="00D84576"/>
    <w:rsid w:val="00D858F6"/>
    <w:rsid w:val="00D86315"/>
    <w:rsid w:val="00D871D0"/>
    <w:rsid w:val="00D90A97"/>
    <w:rsid w:val="00D93F1E"/>
    <w:rsid w:val="00D94E39"/>
    <w:rsid w:val="00DA1399"/>
    <w:rsid w:val="00DA24C6"/>
    <w:rsid w:val="00DA4748"/>
    <w:rsid w:val="00DA4D7B"/>
    <w:rsid w:val="00DA6296"/>
    <w:rsid w:val="00DC10BB"/>
    <w:rsid w:val="00DC44B5"/>
    <w:rsid w:val="00DC6067"/>
    <w:rsid w:val="00DD167D"/>
    <w:rsid w:val="00DD4A41"/>
    <w:rsid w:val="00DD6BB8"/>
    <w:rsid w:val="00DE0943"/>
    <w:rsid w:val="00DE264A"/>
    <w:rsid w:val="00DE50D1"/>
    <w:rsid w:val="00DF20E6"/>
    <w:rsid w:val="00DF5072"/>
    <w:rsid w:val="00E014B6"/>
    <w:rsid w:val="00E02356"/>
    <w:rsid w:val="00E02D18"/>
    <w:rsid w:val="00E041E7"/>
    <w:rsid w:val="00E06A73"/>
    <w:rsid w:val="00E07557"/>
    <w:rsid w:val="00E171A5"/>
    <w:rsid w:val="00E23CA1"/>
    <w:rsid w:val="00E25F7B"/>
    <w:rsid w:val="00E26C6F"/>
    <w:rsid w:val="00E3164A"/>
    <w:rsid w:val="00E409A8"/>
    <w:rsid w:val="00E50C12"/>
    <w:rsid w:val="00E55B9E"/>
    <w:rsid w:val="00E60826"/>
    <w:rsid w:val="00E6439E"/>
    <w:rsid w:val="00E65B91"/>
    <w:rsid w:val="00E7209D"/>
    <w:rsid w:val="00E72EAD"/>
    <w:rsid w:val="00E73CF5"/>
    <w:rsid w:val="00E742C6"/>
    <w:rsid w:val="00E77223"/>
    <w:rsid w:val="00E81DEE"/>
    <w:rsid w:val="00E81F18"/>
    <w:rsid w:val="00E83E8E"/>
    <w:rsid w:val="00E8528B"/>
    <w:rsid w:val="00E85B94"/>
    <w:rsid w:val="00E94BF0"/>
    <w:rsid w:val="00E978D0"/>
    <w:rsid w:val="00EA1E4F"/>
    <w:rsid w:val="00EA4613"/>
    <w:rsid w:val="00EA7F91"/>
    <w:rsid w:val="00EB0F09"/>
    <w:rsid w:val="00EB1523"/>
    <w:rsid w:val="00EB1B26"/>
    <w:rsid w:val="00EC0E49"/>
    <w:rsid w:val="00EC101F"/>
    <w:rsid w:val="00EC1D9F"/>
    <w:rsid w:val="00EC2CC9"/>
    <w:rsid w:val="00EC3131"/>
    <w:rsid w:val="00EC5A87"/>
    <w:rsid w:val="00ED3A81"/>
    <w:rsid w:val="00EE0131"/>
    <w:rsid w:val="00EE17B0"/>
    <w:rsid w:val="00EE46BA"/>
    <w:rsid w:val="00EF06D9"/>
    <w:rsid w:val="00EF3BD9"/>
    <w:rsid w:val="00F02A12"/>
    <w:rsid w:val="00F077FB"/>
    <w:rsid w:val="00F302C3"/>
    <w:rsid w:val="00F30A55"/>
    <w:rsid w:val="00F30C64"/>
    <w:rsid w:val="00F32BA2"/>
    <w:rsid w:val="00F32CDB"/>
    <w:rsid w:val="00F44107"/>
    <w:rsid w:val="00F4475A"/>
    <w:rsid w:val="00F46E96"/>
    <w:rsid w:val="00F53861"/>
    <w:rsid w:val="00F565FE"/>
    <w:rsid w:val="00F63A70"/>
    <w:rsid w:val="00F7234E"/>
    <w:rsid w:val="00F7534E"/>
    <w:rsid w:val="00F77FD1"/>
    <w:rsid w:val="00F80813"/>
    <w:rsid w:val="00F8493A"/>
    <w:rsid w:val="00F86C6A"/>
    <w:rsid w:val="00F934E5"/>
    <w:rsid w:val="00FA1DB0"/>
    <w:rsid w:val="00FA21D0"/>
    <w:rsid w:val="00FA21E6"/>
    <w:rsid w:val="00FA5F5F"/>
    <w:rsid w:val="00FB0485"/>
    <w:rsid w:val="00FB10F0"/>
    <w:rsid w:val="00FB19E3"/>
    <w:rsid w:val="00FB3AE6"/>
    <w:rsid w:val="00FB525C"/>
    <w:rsid w:val="00FB6F05"/>
    <w:rsid w:val="00FB730C"/>
    <w:rsid w:val="00FC2695"/>
    <w:rsid w:val="00FC3E03"/>
    <w:rsid w:val="00FC3FC1"/>
    <w:rsid w:val="00FC796A"/>
    <w:rsid w:val="00FD07CC"/>
    <w:rsid w:val="00FD10E9"/>
    <w:rsid w:val="00FD158A"/>
    <w:rsid w:val="00FD1618"/>
    <w:rsid w:val="00FD19F7"/>
    <w:rsid w:val="00FD2881"/>
    <w:rsid w:val="00FD39A5"/>
    <w:rsid w:val="00FD59FD"/>
    <w:rsid w:val="00FD6A01"/>
    <w:rsid w:val="00FE3C39"/>
    <w:rsid w:val="00FF06E1"/>
    <w:rsid w:val="00FF157E"/>
    <w:rsid w:val="00FF2986"/>
    <w:rsid w:val="00FF7CA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45F8D3C5-C8B0-4F47-9EEA-254982E7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736A1"/>
    <w:pPr>
      <w:keepNext/>
      <w:suppressAutoHyphens/>
      <w:spacing w:before="120" w:after="120" w:line="240" w:lineRule="auto"/>
    </w:pPr>
    <w:rPr>
      <w:rFonts w:ascii="Arial" w:eastAsia="Times New Roman" w:hAnsi="Arial" w:cs="Times New Roman"/>
      <w:b/>
      <w:sz w:val="20"/>
      <w:szCs w:val="20"/>
      <w:lang w:val="es-CO"/>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736A1"/>
    <w:rPr>
      <w:rFonts w:ascii="Arial" w:eastAsia="Times New Roman" w:hAnsi="Arial" w:cs="Times New Roman"/>
      <w:b/>
      <w:sz w:val="20"/>
      <w:szCs w:val="20"/>
      <w:lang w:val="es-CO"/>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unhideWhenUsed/>
    <w:rsid w:val="0003148D"/>
    <w:pPr>
      <w:spacing w:after="120"/>
    </w:pPr>
  </w:style>
  <w:style w:type="character" w:customStyle="1" w:styleId="TextoindependienteCar">
    <w:name w:val="Texto independiente Car"/>
    <w:basedOn w:val="Fuentedeprrafopredeter"/>
    <w:link w:val="Textoindependiente"/>
    <w:uiPriority w:val="99"/>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1"/>
    <w:qFormat/>
    <w:rsid w:val="00280FAF"/>
    <w:pPr>
      <w:ind w:left="720"/>
      <w:contextualSpacing/>
    </w:pPr>
  </w:style>
  <w:style w:type="character" w:styleId="Mencinsinresolver">
    <w:name w:val="Unresolved Mention"/>
    <w:basedOn w:val="Fuentedeprrafopredeter"/>
    <w:uiPriority w:val="99"/>
    <w:semiHidden/>
    <w:unhideWhenUsed/>
    <w:rsid w:val="009C030D"/>
    <w:rPr>
      <w:color w:val="605E5C"/>
      <w:shd w:val="clear" w:color="auto" w:fill="E1DFDD"/>
    </w:rPr>
  </w:style>
  <w:style w:type="paragraph" w:customStyle="1" w:styleId="PrrafoURSI">
    <w:name w:val="PárrafoURSI"/>
    <w:basedOn w:val="Normal"/>
    <w:rsid w:val="00521643"/>
    <w:pPr>
      <w:tabs>
        <w:tab w:val="clear" w:pos="7100"/>
      </w:tabs>
      <w:spacing w:line="240" w:lineRule="auto"/>
      <w:ind w:right="45" w:firstLine="284"/>
    </w:pPr>
    <w:rPr>
      <w:rFonts w:ascii="Times New Roman" w:hAnsi="Times New Roman"/>
      <w:sz w:val="20"/>
      <w:lang w:val="es-ES"/>
    </w:rPr>
  </w:style>
  <w:style w:type="character" w:customStyle="1" w:styleId="title-text">
    <w:name w:val="title-text"/>
    <w:basedOn w:val="Fuentedeprrafopredeter"/>
    <w:rsid w:val="0011155B"/>
  </w:style>
  <w:style w:type="table" w:customStyle="1" w:styleId="TableNormal">
    <w:name w:val="Table Normal"/>
    <w:uiPriority w:val="2"/>
    <w:semiHidden/>
    <w:unhideWhenUsed/>
    <w:qFormat/>
    <w:rsid w:val="006952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525E"/>
    <w:pPr>
      <w:widowControl w:val="0"/>
      <w:tabs>
        <w:tab w:val="clear" w:pos="7100"/>
      </w:tabs>
      <w:autoSpaceDE w:val="0"/>
      <w:autoSpaceDN w:val="0"/>
      <w:spacing w:line="240" w:lineRule="auto"/>
      <w:jc w:val="left"/>
    </w:pPr>
    <w:rPr>
      <w:rFonts w:ascii="Calibri" w:eastAsia="Calibr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072">
      <w:bodyDiv w:val="1"/>
      <w:marLeft w:val="0"/>
      <w:marRight w:val="0"/>
      <w:marTop w:val="0"/>
      <w:marBottom w:val="0"/>
      <w:divBdr>
        <w:top w:val="none" w:sz="0" w:space="0" w:color="auto"/>
        <w:left w:val="none" w:sz="0" w:space="0" w:color="auto"/>
        <w:bottom w:val="none" w:sz="0" w:space="0" w:color="auto"/>
        <w:right w:val="none" w:sz="0" w:space="0" w:color="auto"/>
      </w:divBdr>
    </w:div>
    <w:div w:id="8525684">
      <w:bodyDiv w:val="1"/>
      <w:marLeft w:val="0"/>
      <w:marRight w:val="0"/>
      <w:marTop w:val="0"/>
      <w:marBottom w:val="0"/>
      <w:divBdr>
        <w:top w:val="none" w:sz="0" w:space="0" w:color="auto"/>
        <w:left w:val="none" w:sz="0" w:space="0" w:color="auto"/>
        <w:bottom w:val="none" w:sz="0" w:space="0" w:color="auto"/>
        <w:right w:val="none" w:sz="0" w:space="0" w:color="auto"/>
      </w:divBdr>
    </w:div>
    <w:div w:id="9308081">
      <w:bodyDiv w:val="1"/>
      <w:marLeft w:val="0"/>
      <w:marRight w:val="0"/>
      <w:marTop w:val="0"/>
      <w:marBottom w:val="0"/>
      <w:divBdr>
        <w:top w:val="none" w:sz="0" w:space="0" w:color="auto"/>
        <w:left w:val="none" w:sz="0" w:space="0" w:color="auto"/>
        <w:bottom w:val="none" w:sz="0" w:space="0" w:color="auto"/>
        <w:right w:val="none" w:sz="0" w:space="0" w:color="auto"/>
      </w:divBdr>
    </w:div>
    <w:div w:id="24256280">
      <w:bodyDiv w:val="1"/>
      <w:marLeft w:val="0"/>
      <w:marRight w:val="0"/>
      <w:marTop w:val="0"/>
      <w:marBottom w:val="0"/>
      <w:divBdr>
        <w:top w:val="none" w:sz="0" w:space="0" w:color="auto"/>
        <w:left w:val="none" w:sz="0" w:space="0" w:color="auto"/>
        <w:bottom w:val="none" w:sz="0" w:space="0" w:color="auto"/>
        <w:right w:val="none" w:sz="0" w:space="0" w:color="auto"/>
      </w:divBdr>
    </w:div>
    <w:div w:id="78596910">
      <w:bodyDiv w:val="1"/>
      <w:marLeft w:val="0"/>
      <w:marRight w:val="0"/>
      <w:marTop w:val="0"/>
      <w:marBottom w:val="0"/>
      <w:divBdr>
        <w:top w:val="none" w:sz="0" w:space="0" w:color="auto"/>
        <w:left w:val="none" w:sz="0" w:space="0" w:color="auto"/>
        <w:bottom w:val="none" w:sz="0" w:space="0" w:color="auto"/>
        <w:right w:val="none" w:sz="0" w:space="0" w:color="auto"/>
      </w:divBdr>
    </w:div>
    <w:div w:id="79180304">
      <w:bodyDiv w:val="1"/>
      <w:marLeft w:val="0"/>
      <w:marRight w:val="0"/>
      <w:marTop w:val="0"/>
      <w:marBottom w:val="0"/>
      <w:divBdr>
        <w:top w:val="none" w:sz="0" w:space="0" w:color="auto"/>
        <w:left w:val="none" w:sz="0" w:space="0" w:color="auto"/>
        <w:bottom w:val="none" w:sz="0" w:space="0" w:color="auto"/>
        <w:right w:val="none" w:sz="0" w:space="0" w:color="auto"/>
      </w:divBdr>
    </w:div>
    <w:div w:id="86659517">
      <w:bodyDiv w:val="1"/>
      <w:marLeft w:val="0"/>
      <w:marRight w:val="0"/>
      <w:marTop w:val="0"/>
      <w:marBottom w:val="0"/>
      <w:divBdr>
        <w:top w:val="none" w:sz="0" w:space="0" w:color="auto"/>
        <w:left w:val="none" w:sz="0" w:space="0" w:color="auto"/>
        <w:bottom w:val="none" w:sz="0" w:space="0" w:color="auto"/>
        <w:right w:val="none" w:sz="0" w:space="0" w:color="auto"/>
      </w:divBdr>
    </w:div>
    <w:div w:id="102309967">
      <w:bodyDiv w:val="1"/>
      <w:marLeft w:val="0"/>
      <w:marRight w:val="0"/>
      <w:marTop w:val="0"/>
      <w:marBottom w:val="0"/>
      <w:divBdr>
        <w:top w:val="none" w:sz="0" w:space="0" w:color="auto"/>
        <w:left w:val="none" w:sz="0" w:space="0" w:color="auto"/>
        <w:bottom w:val="none" w:sz="0" w:space="0" w:color="auto"/>
        <w:right w:val="none" w:sz="0" w:space="0" w:color="auto"/>
      </w:divBdr>
    </w:div>
    <w:div w:id="106850667">
      <w:bodyDiv w:val="1"/>
      <w:marLeft w:val="0"/>
      <w:marRight w:val="0"/>
      <w:marTop w:val="0"/>
      <w:marBottom w:val="0"/>
      <w:divBdr>
        <w:top w:val="none" w:sz="0" w:space="0" w:color="auto"/>
        <w:left w:val="none" w:sz="0" w:space="0" w:color="auto"/>
        <w:bottom w:val="none" w:sz="0" w:space="0" w:color="auto"/>
        <w:right w:val="none" w:sz="0" w:space="0" w:color="auto"/>
      </w:divBdr>
    </w:div>
    <w:div w:id="109861532">
      <w:bodyDiv w:val="1"/>
      <w:marLeft w:val="0"/>
      <w:marRight w:val="0"/>
      <w:marTop w:val="0"/>
      <w:marBottom w:val="0"/>
      <w:divBdr>
        <w:top w:val="none" w:sz="0" w:space="0" w:color="auto"/>
        <w:left w:val="none" w:sz="0" w:space="0" w:color="auto"/>
        <w:bottom w:val="none" w:sz="0" w:space="0" w:color="auto"/>
        <w:right w:val="none" w:sz="0" w:space="0" w:color="auto"/>
      </w:divBdr>
    </w:div>
    <w:div w:id="110706036">
      <w:bodyDiv w:val="1"/>
      <w:marLeft w:val="0"/>
      <w:marRight w:val="0"/>
      <w:marTop w:val="0"/>
      <w:marBottom w:val="0"/>
      <w:divBdr>
        <w:top w:val="none" w:sz="0" w:space="0" w:color="auto"/>
        <w:left w:val="none" w:sz="0" w:space="0" w:color="auto"/>
        <w:bottom w:val="none" w:sz="0" w:space="0" w:color="auto"/>
        <w:right w:val="none" w:sz="0" w:space="0" w:color="auto"/>
      </w:divBdr>
    </w:div>
    <w:div w:id="121928098">
      <w:bodyDiv w:val="1"/>
      <w:marLeft w:val="0"/>
      <w:marRight w:val="0"/>
      <w:marTop w:val="0"/>
      <w:marBottom w:val="0"/>
      <w:divBdr>
        <w:top w:val="none" w:sz="0" w:space="0" w:color="auto"/>
        <w:left w:val="none" w:sz="0" w:space="0" w:color="auto"/>
        <w:bottom w:val="none" w:sz="0" w:space="0" w:color="auto"/>
        <w:right w:val="none" w:sz="0" w:space="0" w:color="auto"/>
      </w:divBdr>
    </w:div>
    <w:div w:id="122699352">
      <w:bodyDiv w:val="1"/>
      <w:marLeft w:val="0"/>
      <w:marRight w:val="0"/>
      <w:marTop w:val="0"/>
      <w:marBottom w:val="0"/>
      <w:divBdr>
        <w:top w:val="none" w:sz="0" w:space="0" w:color="auto"/>
        <w:left w:val="none" w:sz="0" w:space="0" w:color="auto"/>
        <w:bottom w:val="none" w:sz="0" w:space="0" w:color="auto"/>
        <w:right w:val="none" w:sz="0" w:space="0" w:color="auto"/>
      </w:divBdr>
    </w:div>
    <w:div w:id="125777673">
      <w:bodyDiv w:val="1"/>
      <w:marLeft w:val="0"/>
      <w:marRight w:val="0"/>
      <w:marTop w:val="0"/>
      <w:marBottom w:val="0"/>
      <w:divBdr>
        <w:top w:val="none" w:sz="0" w:space="0" w:color="auto"/>
        <w:left w:val="none" w:sz="0" w:space="0" w:color="auto"/>
        <w:bottom w:val="none" w:sz="0" w:space="0" w:color="auto"/>
        <w:right w:val="none" w:sz="0" w:space="0" w:color="auto"/>
      </w:divBdr>
    </w:div>
    <w:div w:id="128281290">
      <w:bodyDiv w:val="1"/>
      <w:marLeft w:val="0"/>
      <w:marRight w:val="0"/>
      <w:marTop w:val="0"/>
      <w:marBottom w:val="0"/>
      <w:divBdr>
        <w:top w:val="none" w:sz="0" w:space="0" w:color="auto"/>
        <w:left w:val="none" w:sz="0" w:space="0" w:color="auto"/>
        <w:bottom w:val="none" w:sz="0" w:space="0" w:color="auto"/>
        <w:right w:val="none" w:sz="0" w:space="0" w:color="auto"/>
      </w:divBdr>
    </w:div>
    <w:div w:id="134222897">
      <w:bodyDiv w:val="1"/>
      <w:marLeft w:val="0"/>
      <w:marRight w:val="0"/>
      <w:marTop w:val="0"/>
      <w:marBottom w:val="0"/>
      <w:divBdr>
        <w:top w:val="none" w:sz="0" w:space="0" w:color="auto"/>
        <w:left w:val="none" w:sz="0" w:space="0" w:color="auto"/>
        <w:bottom w:val="none" w:sz="0" w:space="0" w:color="auto"/>
        <w:right w:val="none" w:sz="0" w:space="0" w:color="auto"/>
      </w:divBdr>
    </w:div>
    <w:div w:id="156582279">
      <w:bodyDiv w:val="1"/>
      <w:marLeft w:val="0"/>
      <w:marRight w:val="0"/>
      <w:marTop w:val="0"/>
      <w:marBottom w:val="0"/>
      <w:divBdr>
        <w:top w:val="none" w:sz="0" w:space="0" w:color="auto"/>
        <w:left w:val="none" w:sz="0" w:space="0" w:color="auto"/>
        <w:bottom w:val="none" w:sz="0" w:space="0" w:color="auto"/>
        <w:right w:val="none" w:sz="0" w:space="0" w:color="auto"/>
      </w:divBdr>
    </w:div>
    <w:div w:id="165827406">
      <w:bodyDiv w:val="1"/>
      <w:marLeft w:val="0"/>
      <w:marRight w:val="0"/>
      <w:marTop w:val="0"/>
      <w:marBottom w:val="0"/>
      <w:divBdr>
        <w:top w:val="none" w:sz="0" w:space="0" w:color="auto"/>
        <w:left w:val="none" w:sz="0" w:space="0" w:color="auto"/>
        <w:bottom w:val="none" w:sz="0" w:space="0" w:color="auto"/>
        <w:right w:val="none" w:sz="0" w:space="0" w:color="auto"/>
      </w:divBdr>
    </w:div>
    <w:div w:id="166528676">
      <w:bodyDiv w:val="1"/>
      <w:marLeft w:val="0"/>
      <w:marRight w:val="0"/>
      <w:marTop w:val="0"/>
      <w:marBottom w:val="0"/>
      <w:divBdr>
        <w:top w:val="none" w:sz="0" w:space="0" w:color="auto"/>
        <w:left w:val="none" w:sz="0" w:space="0" w:color="auto"/>
        <w:bottom w:val="none" w:sz="0" w:space="0" w:color="auto"/>
        <w:right w:val="none" w:sz="0" w:space="0" w:color="auto"/>
      </w:divBdr>
    </w:div>
    <w:div w:id="193690523">
      <w:bodyDiv w:val="1"/>
      <w:marLeft w:val="0"/>
      <w:marRight w:val="0"/>
      <w:marTop w:val="0"/>
      <w:marBottom w:val="0"/>
      <w:divBdr>
        <w:top w:val="none" w:sz="0" w:space="0" w:color="auto"/>
        <w:left w:val="none" w:sz="0" w:space="0" w:color="auto"/>
        <w:bottom w:val="none" w:sz="0" w:space="0" w:color="auto"/>
        <w:right w:val="none" w:sz="0" w:space="0" w:color="auto"/>
      </w:divBdr>
    </w:div>
    <w:div w:id="202987239">
      <w:bodyDiv w:val="1"/>
      <w:marLeft w:val="0"/>
      <w:marRight w:val="0"/>
      <w:marTop w:val="0"/>
      <w:marBottom w:val="0"/>
      <w:divBdr>
        <w:top w:val="none" w:sz="0" w:space="0" w:color="auto"/>
        <w:left w:val="none" w:sz="0" w:space="0" w:color="auto"/>
        <w:bottom w:val="none" w:sz="0" w:space="0" w:color="auto"/>
        <w:right w:val="none" w:sz="0" w:space="0" w:color="auto"/>
      </w:divBdr>
    </w:div>
    <w:div w:id="206456126">
      <w:bodyDiv w:val="1"/>
      <w:marLeft w:val="0"/>
      <w:marRight w:val="0"/>
      <w:marTop w:val="0"/>
      <w:marBottom w:val="0"/>
      <w:divBdr>
        <w:top w:val="none" w:sz="0" w:space="0" w:color="auto"/>
        <w:left w:val="none" w:sz="0" w:space="0" w:color="auto"/>
        <w:bottom w:val="none" w:sz="0" w:space="0" w:color="auto"/>
        <w:right w:val="none" w:sz="0" w:space="0" w:color="auto"/>
      </w:divBdr>
    </w:div>
    <w:div w:id="224806259">
      <w:bodyDiv w:val="1"/>
      <w:marLeft w:val="0"/>
      <w:marRight w:val="0"/>
      <w:marTop w:val="0"/>
      <w:marBottom w:val="0"/>
      <w:divBdr>
        <w:top w:val="none" w:sz="0" w:space="0" w:color="auto"/>
        <w:left w:val="none" w:sz="0" w:space="0" w:color="auto"/>
        <w:bottom w:val="none" w:sz="0" w:space="0" w:color="auto"/>
        <w:right w:val="none" w:sz="0" w:space="0" w:color="auto"/>
      </w:divBdr>
    </w:div>
    <w:div w:id="270283191">
      <w:bodyDiv w:val="1"/>
      <w:marLeft w:val="0"/>
      <w:marRight w:val="0"/>
      <w:marTop w:val="0"/>
      <w:marBottom w:val="0"/>
      <w:divBdr>
        <w:top w:val="none" w:sz="0" w:space="0" w:color="auto"/>
        <w:left w:val="none" w:sz="0" w:space="0" w:color="auto"/>
        <w:bottom w:val="none" w:sz="0" w:space="0" w:color="auto"/>
        <w:right w:val="none" w:sz="0" w:space="0" w:color="auto"/>
      </w:divBdr>
    </w:div>
    <w:div w:id="281889521">
      <w:bodyDiv w:val="1"/>
      <w:marLeft w:val="0"/>
      <w:marRight w:val="0"/>
      <w:marTop w:val="0"/>
      <w:marBottom w:val="0"/>
      <w:divBdr>
        <w:top w:val="none" w:sz="0" w:space="0" w:color="auto"/>
        <w:left w:val="none" w:sz="0" w:space="0" w:color="auto"/>
        <w:bottom w:val="none" w:sz="0" w:space="0" w:color="auto"/>
        <w:right w:val="none" w:sz="0" w:space="0" w:color="auto"/>
      </w:divBdr>
    </w:div>
    <w:div w:id="313485972">
      <w:bodyDiv w:val="1"/>
      <w:marLeft w:val="0"/>
      <w:marRight w:val="0"/>
      <w:marTop w:val="0"/>
      <w:marBottom w:val="0"/>
      <w:divBdr>
        <w:top w:val="none" w:sz="0" w:space="0" w:color="auto"/>
        <w:left w:val="none" w:sz="0" w:space="0" w:color="auto"/>
        <w:bottom w:val="none" w:sz="0" w:space="0" w:color="auto"/>
        <w:right w:val="none" w:sz="0" w:space="0" w:color="auto"/>
      </w:divBdr>
    </w:div>
    <w:div w:id="327176607">
      <w:bodyDiv w:val="1"/>
      <w:marLeft w:val="0"/>
      <w:marRight w:val="0"/>
      <w:marTop w:val="0"/>
      <w:marBottom w:val="0"/>
      <w:divBdr>
        <w:top w:val="none" w:sz="0" w:space="0" w:color="auto"/>
        <w:left w:val="none" w:sz="0" w:space="0" w:color="auto"/>
        <w:bottom w:val="none" w:sz="0" w:space="0" w:color="auto"/>
        <w:right w:val="none" w:sz="0" w:space="0" w:color="auto"/>
      </w:divBdr>
    </w:div>
    <w:div w:id="337000873">
      <w:bodyDiv w:val="1"/>
      <w:marLeft w:val="0"/>
      <w:marRight w:val="0"/>
      <w:marTop w:val="0"/>
      <w:marBottom w:val="0"/>
      <w:divBdr>
        <w:top w:val="none" w:sz="0" w:space="0" w:color="auto"/>
        <w:left w:val="none" w:sz="0" w:space="0" w:color="auto"/>
        <w:bottom w:val="none" w:sz="0" w:space="0" w:color="auto"/>
        <w:right w:val="none" w:sz="0" w:space="0" w:color="auto"/>
      </w:divBdr>
    </w:div>
    <w:div w:id="341131010">
      <w:bodyDiv w:val="1"/>
      <w:marLeft w:val="0"/>
      <w:marRight w:val="0"/>
      <w:marTop w:val="0"/>
      <w:marBottom w:val="0"/>
      <w:divBdr>
        <w:top w:val="none" w:sz="0" w:space="0" w:color="auto"/>
        <w:left w:val="none" w:sz="0" w:space="0" w:color="auto"/>
        <w:bottom w:val="none" w:sz="0" w:space="0" w:color="auto"/>
        <w:right w:val="none" w:sz="0" w:space="0" w:color="auto"/>
      </w:divBdr>
    </w:div>
    <w:div w:id="389112563">
      <w:bodyDiv w:val="1"/>
      <w:marLeft w:val="0"/>
      <w:marRight w:val="0"/>
      <w:marTop w:val="0"/>
      <w:marBottom w:val="0"/>
      <w:divBdr>
        <w:top w:val="none" w:sz="0" w:space="0" w:color="auto"/>
        <w:left w:val="none" w:sz="0" w:space="0" w:color="auto"/>
        <w:bottom w:val="none" w:sz="0" w:space="0" w:color="auto"/>
        <w:right w:val="none" w:sz="0" w:space="0" w:color="auto"/>
      </w:divBdr>
    </w:div>
    <w:div w:id="391583453">
      <w:bodyDiv w:val="1"/>
      <w:marLeft w:val="0"/>
      <w:marRight w:val="0"/>
      <w:marTop w:val="0"/>
      <w:marBottom w:val="0"/>
      <w:divBdr>
        <w:top w:val="none" w:sz="0" w:space="0" w:color="auto"/>
        <w:left w:val="none" w:sz="0" w:space="0" w:color="auto"/>
        <w:bottom w:val="none" w:sz="0" w:space="0" w:color="auto"/>
        <w:right w:val="none" w:sz="0" w:space="0" w:color="auto"/>
      </w:divBdr>
    </w:div>
    <w:div w:id="415907778">
      <w:bodyDiv w:val="1"/>
      <w:marLeft w:val="0"/>
      <w:marRight w:val="0"/>
      <w:marTop w:val="0"/>
      <w:marBottom w:val="0"/>
      <w:divBdr>
        <w:top w:val="none" w:sz="0" w:space="0" w:color="auto"/>
        <w:left w:val="none" w:sz="0" w:space="0" w:color="auto"/>
        <w:bottom w:val="none" w:sz="0" w:space="0" w:color="auto"/>
        <w:right w:val="none" w:sz="0" w:space="0" w:color="auto"/>
      </w:divBdr>
    </w:div>
    <w:div w:id="445196166">
      <w:bodyDiv w:val="1"/>
      <w:marLeft w:val="0"/>
      <w:marRight w:val="0"/>
      <w:marTop w:val="0"/>
      <w:marBottom w:val="0"/>
      <w:divBdr>
        <w:top w:val="none" w:sz="0" w:space="0" w:color="auto"/>
        <w:left w:val="none" w:sz="0" w:space="0" w:color="auto"/>
        <w:bottom w:val="none" w:sz="0" w:space="0" w:color="auto"/>
        <w:right w:val="none" w:sz="0" w:space="0" w:color="auto"/>
      </w:divBdr>
    </w:div>
    <w:div w:id="446774848">
      <w:bodyDiv w:val="1"/>
      <w:marLeft w:val="0"/>
      <w:marRight w:val="0"/>
      <w:marTop w:val="0"/>
      <w:marBottom w:val="0"/>
      <w:divBdr>
        <w:top w:val="none" w:sz="0" w:space="0" w:color="auto"/>
        <w:left w:val="none" w:sz="0" w:space="0" w:color="auto"/>
        <w:bottom w:val="none" w:sz="0" w:space="0" w:color="auto"/>
        <w:right w:val="none" w:sz="0" w:space="0" w:color="auto"/>
      </w:divBdr>
    </w:div>
    <w:div w:id="488448857">
      <w:bodyDiv w:val="1"/>
      <w:marLeft w:val="0"/>
      <w:marRight w:val="0"/>
      <w:marTop w:val="0"/>
      <w:marBottom w:val="0"/>
      <w:divBdr>
        <w:top w:val="none" w:sz="0" w:space="0" w:color="auto"/>
        <w:left w:val="none" w:sz="0" w:space="0" w:color="auto"/>
        <w:bottom w:val="none" w:sz="0" w:space="0" w:color="auto"/>
        <w:right w:val="none" w:sz="0" w:space="0" w:color="auto"/>
      </w:divBdr>
    </w:div>
    <w:div w:id="490873742">
      <w:bodyDiv w:val="1"/>
      <w:marLeft w:val="0"/>
      <w:marRight w:val="0"/>
      <w:marTop w:val="0"/>
      <w:marBottom w:val="0"/>
      <w:divBdr>
        <w:top w:val="none" w:sz="0" w:space="0" w:color="auto"/>
        <w:left w:val="none" w:sz="0" w:space="0" w:color="auto"/>
        <w:bottom w:val="none" w:sz="0" w:space="0" w:color="auto"/>
        <w:right w:val="none" w:sz="0" w:space="0" w:color="auto"/>
      </w:divBdr>
    </w:div>
    <w:div w:id="533153177">
      <w:bodyDiv w:val="1"/>
      <w:marLeft w:val="0"/>
      <w:marRight w:val="0"/>
      <w:marTop w:val="0"/>
      <w:marBottom w:val="0"/>
      <w:divBdr>
        <w:top w:val="none" w:sz="0" w:space="0" w:color="auto"/>
        <w:left w:val="none" w:sz="0" w:space="0" w:color="auto"/>
        <w:bottom w:val="none" w:sz="0" w:space="0" w:color="auto"/>
        <w:right w:val="none" w:sz="0" w:space="0" w:color="auto"/>
      </w:divBdr>
    </w:div>
    <w:div w:id="533732639">
      <w:bodyDiv w:val="1"/>
      <w:marLeft w:val="0"/>
      <w:marRight w:val="0"/>
      <w:marTop w:val="0"/>
      <w:marBottom w:val="0"/>
      <w:divBdr>
        <w:top w:val="none" w:sz="0" w:space="0" w:color="auto"/>
        <w:left w:val="none" w:sz="0" w:space="0" w:color="auto"/>
        <w:bottom w:val="none" w:sz="0" w:space="0" w:color="auto"/>
        <w:right w:val="none" w:sz="0" w:space="0" w:color="auto"/>
      </w:divBdr>
    </w:div>
    <w:div w:id="548340404">
      <w:bodyDiv w:val="1"/>
      <w:marLeft w:val="0"/>
      <w:marRight w:val="0"/>
      <w:marTop w:val="0"/>
      <w:marBottom w:val="0"/>
      <w:divBdr>
        <w:top w:val="none" w:sz="0" w:space="0" w:color="auto"/>
        <w:left w:val="none" w:sz="0" w:space="0" w:color="auto"/>
        <w:bottom w:val="none" w:sz="0" w:space="0" w:color="auto"/>
        <w:right w:val="none" w:sz="0" w:space="0" w:color="auto"/>
      </w:divBdr>
    </w:div>
    <w:div w:id="553663312">
      <w:bodyDiv w:val="1"/>
      <w:marLeft w:val="0"/>
      <w:marRight w:val="0"/>
      <w:marTop w:val="0"/>
      <w:marBottom w:val="0"/>
      <w:divBdr>
        <w:top w:val="none" w:sz="0" w:space="0" w:color="auto"/>
        <w:left w:val="none" w:sz="0" w:space="0" w:color="auto"/>
        <w:bottom w:val="none" w:sz="0" w:space="0" w:color="auto"/>
        <w:right w:val="none" w:sz="0" w:space="0" w:color="auto"/>
      </w:divBdr>
    </w:div>
    <w:div w:id="570314706">
      <w:bodyDiv w:val="1"/>
      <w:marLeft w:val="0"/>
      <w:marRight w:val="0"/>
      <w:marTop w:val="0"/>
      <w:marBottom w:val="0"/>
      <w:divBdr>
        <w:top w:val="none" w:sz="0" w:space="0" w:color="auto"/>
        <w:left w:val="none" w:sz="0" w:space="0" w:color="auto"/>
        <w:bottom w:val="none" w:sz="0" w:space="0" w:color="auto"/>
        <w:right w:val="none" w:sz="0" w:space="0" w:color="auto"/>
      </w:divBdr>
    </w:div>
    <w:div w:id="574554507">
      <w:bodyDiv w:val="1"/>
      <w:marLeft w:val="0"/>
      <w:marRight w:val="0"/>
      <w:marTop w:val="0"/>
      <w:marBottom w:val="0"/>
      <w:divBdr>
        <w:top w:val="none" w:sz="0" w:space="0" w:color="auto"/>
        <w:left w:val="none" w:sz="0" w:space="0" w:color="auto"/>
        <w:bottom w:val="none" w:sz="0" w:space="0" w:color="auto"/>
        <w:right w:val="none" w:sz="0" w:space="0" w:color="auto"/>
      </w:divBdr>
    </w:div>
    <w:div w:id="594242797">
      <w:bodyDiv w:val="1"/>
      <w:marLeft w:val="0"/>
      <w:marRight w:val="0"/>
      <w:marTop w:val="0"/>
      <w:marBottom w:val="0"/>
      <w:divBdr>
        <w:top w:val="none" w:sz="0" w:space="0" w:color="auto"/>
        <w:left w:val="none" w:sz="0" w:space="0" w:color="auto"/>
        <w:bottom w:val="none" w:sz="0" w:space="0" w:color="auto"/>
        <w:right w:val="none" w:sz="0" w:space="0" w:color="auto"/>
      </w:divBdr>
    </w:div>
    <w:div w:id="594482708">
      <w:bodyDiv w:val="1"/>
      <w:marLeft w:val="0"/>
      <w:marRight w:val="0"/>
      <w:marTop w:val="0"/>
      <w:marBottom w:val="0"/>
      <w:divBdr>
        <w:top w:val="none" w:sz="0" w:space="0" w:color="auto"/>
        <w:left w:val="none" w:sz="0" w:space="0" w:color="auto"/>
        <w:bottom w:val="none" w:sz="0" w:space="0" w:color="auto"/>
        <w:right w:val="none" w:sz="0" w:space="0" w:color="auto"/>
      </w:divBdr>
    </w:div>
    <w:div w:id="594825195">
      <w:bodyDiv w:val="1"/>
      <w:marLeft w:val="0"/>
      <w:marRight w:val="0"/>
      <w:marTop w:val="0"/>
      <w:marBottom w:val="0"/>
      <w:divBdr>
        <w:top w:val="none" w:sz="0" w:space="0" w:color="auto"/>
        <w:left w:val="none" w:sz="0" w:space="0" w:color="auto"/>
        <w:bottom w:val="none" w:sz="0" w:space="0" w:color="auto"/>
        <w:right w:val="none" w:sz="0" w:space="0" w:color="auto"/>
      </w:divBdr>
    </w:div>
    <w:div w:id="596526052">
      <w:bodyDiv w:val="1"/>
      <w:marLeft w:val="0"/>
      <w:marRight w:val="0"/>
      <w:marTop w:val="0"/>
      <w:marBottom w:val="0"/>
      <w:divBdr>
        <w:top w:val="none" w:sz="0" w:space="0" w:color="auto"/>
        <w:left w:val="none" w:sz="0" w:space="0" w:color="auto"/>
        <w:bottom w:val="none" w:sz="0" w:space="0" w:color="auto"/>
        <w:right w:val="none" w:sz="0" w:space="0" w:color="auto"/>
      </w:divBdr>
    </w:div>
    <w:div w:id="630749916">
      <w:bodyDiv w:val="1"/>
      <w:marLeft w:val="0"/>
      <w:marRight w:val="0"/>
      <w:marTop w:val="0"/>
      <w:marBottom w:val="0"/>
      <w:divBdr>
        <w:top w:val="none" w:sz="0" w:space="0" w:color="auto"/>
        <w:left w:val="none" w:sz="0" w:space="0" w:color="auto"/>
        <w:bottom w:val="none" w:sz="0" w:space="0" w:color="auto"/>
        <w:right w:val="none" w:sz="0" w:space="0" w:color="auto"/>
      </w:divBdr>
    </w:div>
    <w:div w:id="652411928">
      <w:bodyDiv w:val="1"/>
      <w:marLeft w:val="0"/>
      <w:marRight w:val="0"/>
      <w:marTop w:val="0"/>
      <w:marBottom w:val="0"/>
      <w:divBdr>
        <w:top w:val="none" w:sz="0" w:space="0" w:color="auto"/>
        <w:left w:val="none" w:sz="0" w:space="0" w:color="auto"/>
        <w:bottom w:val="none" w:sz="0" w:space="0" w:color="auto"/>
        <w:right w:val="none" w:sz="0" w:space="0" w:color="auto"/>
      </w:divBdr>
    </w:div>
    <w:div w:id="656960135">
      <w:bodyDiv w:val="1"/>
      <w:marLeft w:val="0"/>
      <w:marRight w:val="0"/>
      <w:marTop w:val="0"/>
      <w:marBottom w:val="0"/>
      <w:divBdr>
        <w:top w:val="none" w:sz="0" w:space="0" w:color="auto"/>
        <w:left w:val="none" w:sz="0" w:space="0" w:color="auto"/>
        <w:bottom w:val="none" w:sz="0" w:space="0" w:color="auto"/>
        <w:right w:val="none" w:sz="0" w:space="0" w:color="auto"/>
      </w:divBdr>
    </w:div>
    <w:div w:id="658535550">
      <w:bodyDiv w:val="1"/>
      <w:marLeft w:val="0"/>
      <w:marRight w:val="0"/>
      <w:marTop w:val="0"/>
      <w:marBottom w:val="0"/>
      <w:divBdr>
        <w:top w:val="none" w:sz="0" w:space="0" w:color="auto"/>
        <w:left w:val="none" w:sz="0" w:space="0" w:color="auto"/>
        <w:bottom w:val="none" w:sz="0" w:space="0" w:color="auto"/>
        <w:right w:val="none" w:sz="0" w:space="0" w:color="auto"/>
      </w:divBdr>
    </w:div>
    <w:div w:id="663431892">
      <w:bodyDiv w:val="1"/>
      <w:marLeft w:val="0"/>
      <w:marRight w:val="0"/>
      <w:marTop w:val="0"/>
      <w:marBottom w:val="0"/>
      <w:divBdr>
        <w:top w:val="none" w:sz="0" w:space="0" w:color="auto"/>
        <w:left w:val="none" w:sz="0" w:space="0" w:color="auto"/>
        <w:bottom w:val="none" w:sz="0" w:space="0" w:color="auto"/>
        <w:right w:val="none" w:sz="0" w:space="0" w:color="auto"/>
      </w:divBdr>
    </w:div>
    <w:div w:id="676272912">
      <w:bodyDiv w:val="1"/>
      <w:marLeft w:val="0"/>
      <w:marRight w:val="0"/>
      <w:marTop w:val="0"/>
      <w:marBottom w:val="0"/>
      <w:divBdr>
        <w:top w:val="none" w:sz="0" w:space="0" w:color="auto"/>
        <w:left w:val="none" w:sz="0" w:space="0" w:color="auto"/>
        <w:bottom w:val="none" w:sz="0" w:space="0" w:color="auto"/>
        <w:right w:val="none" w:sz="0" w:space="0" w:color="auto"/>
      </w:divBdr>
    </w:div>
    <w:div w:id="686099183">
      <w:bodyDiv w:val="1"/>
      <w:marLeft w:val="0"/>
      <w:marRight w:val="0"/>
      <w:marTop w:val="0"/>
      <w:marBottom w:val="0"/>
      <w:divBdr>
        <w:top w:val="none" w:sz="0" w:space="0" w:color="auto"/>
        <w:left w:val="none" w:sz="0" w:space="0" w:color="auto"/>
        <w:bottom w:val="none" w:sz="0" w:space="0" w:color="auto"/>
        <w:right w:val="none" w:sz="0" w:space="0" w:color="auto"/>
      </w:divBdr>
    </w:div>
    <w:div w:id="738787356">
      <w:bodyDiv w:val="1"/>
      <w:marLeft w:val="0"/>
      <w:marRight w:val="0"/>
      <w:marTop w:val="0"/>
      <w:marBottom w:val="0"/>
      <w:divBdr>
        <w:top w:val="none" w:sz="0" w:space="0" w:color="auto"/>
        <w:left w:val="none" w:sz="0" w:space="0" w:color="auto"/>
        <w:bottom w:val="none" w:sz="0" w:space="0" w:color="auto"/>
        <w:right w:val="none" w:sz="0" w:space="0" w:color="auto"/>
      </w:divBdr>
    </w:div>
    <w:div w:id="761337147">
      <w:bodyDiv w:val="1"/>
      <w:marLeft w:val="0"/>
      <w:marRight w:val="0"/>
      <w:marTop w:val="0"/>
      <w:marBottom w:val="0"/>
      <w:divBdr>
        <w:top w:val="none" w:sz="0" w:space="0" w:color="auto"/>
        <w:left w:val="none" w:sz="0" w:space="0" w:color="auto"/>
        <w:bottom w:val="none" w:sz="0" w:space="0" w:color="auto"/>
        <w:right w:val="none" w:sz="0" w:space="0" w:color="auto"/>
      </w:divBdr>
    </w:div>
    <w:div w:id="762605093">
      <w:bodyDiv w:val="1"/>
      <w:marLeft w:val="0"/>
      <w:marRight w:val="0"/>
      <w:marTop w:val="0"/>
      <w:marBottom w:val="0"/>
      <w:divBdr>
        <w:top w:val="none" w:sz="0" w:space="0" w:color="auto"/>
        <w:left w:val="none" w:sz="0" w:space="0" w:color="auto"/>
        <w:bottom w:val="none" w:sz="0" w:space="0" w:color="auto"/>
        <w:right w:val="none" w:sz="0" w:space="0" w:color="auto"/>
      </w:divBdr>
    </w:div>
    <w:div w:id="769816512">
      <w:bodyDiv w:val="1"/>
      <w:marLeft w:val="0"/>
      <w:marRight w:val="0"/>
      <w:marTop w:val="0"/>
      <w:marBottom w:val="0"/>
      <w:divBdr>
        <w:top w:val="none" w:sz="0" w:space="0" w:color="auto"/>
        <w:left w:val="none" w:sz="0" w:space="0" w:color="auto"/>
        <w:bottom w:val="none" w:sz="0" w:space="0" w:color="auto"/>
        <w:right w:val="none" w:sz="0" w:space="0" w:color="auto"/>
      </w:divBdr>
    </w:div>
    <w:div w:id="774710368">
      <w:bodyDiv w:val="1"/>
      <w:marLeft w:val="0"/>
      <w:marRight w:val="0"/>
      <w:marTop w:val="0"/>
      <w:marBottom w:val="0"/>
      <w:divBdr>
        <w:top w:val="none" w:sz="0" w:space="0" w:color="auto"/>
        <w:left w:val="none" w:sz="0" w:space="0" w:color="auto"/>
        <w:bottom w:val="none" w:sz="0" w:space="0" w:color="auto"/>
        <w:right w:val="none" w:sz="0" w:space="0" w:color="auto"/>
      </w:divBdr>
    </w:div>
    <w:div w:id="77768277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6114">
      <w:bodyDiv w:val="1"/>
      <w:marLeft w:val="0"/>
      <w:marRight w:val="0"/>
      <w:marTop w:val="0"/>
      <w:marBottom w:val="0"/>
      <w:divBdr>
        <w:top w:val="none" w:sz="0" w:space="0" w:color="auto"/>
        <w:left w:val="none" w:sz="0" w:space="0" w:color="auto"/>
        <w:bottom w:val="none" w:sz="0" w:space="0" w:color="auto"/>
        <w:right w:val="none" w:sz="0" w:space="0" w:color="auto"/>
      </w:divBdr>
    </w:div>
    <w:div w:id="791361346">
      <w:bodyDiv w:val="1"/>
      <w:marLeft w:val="0"/>
      <w:marRight w:val="0"/>
      <w:marTop w:val="0"/>
      <w:marBottom w:val="0"/>
      <w:divBdr>
        <w:top w:val="none" w:sz="0" w:space="0" w:color="auto"/>
        <w:left w:val="none" w:sz="0" w:space="0" w:color="auto"/>
        <w:bottom w:val="none" w:sz="0" w:space="0" w:color="auto"/>
        <w:right w:val="none" w:sz="0" w:space="0" w:color="auto"/>
      </w:divBdr>
    </w:div>
    <w:div w:id="792018479">
      <w:bodyDiv w:val="1"/>
      <w:marLeft w:val="0"/>
      <w:marRight w:val="0"/>
      <w:marTop w:val="0"/>
      <w:marBottom w:val="0"/>
      <w:divBdr>
        <w:top w:val="none" w:sz="0" w:space="0" w:color="auto"/>
        <w:left w:val="none" w:sz="0" w:space="0" w:color="auto"/>
        <w:bottom w:val="none" w:sz="0" w:space="0" w:color="auto"/>
        <w:right w:val="none" w:sz="0" w:space="0" w:color="auto"/>
      </w:divBdr>
    </w:div>
    <w:div w:id="804663230">
      <w:bodyDiv w:val="1"/>
      <w:marLeft w:val="0"/>
      <w:marRight w:val="0"/>
      <w:marTop w:val="0"/>
      <w:marBottom w:val="0"/>
      <w:divBdr>
        <w:top w:val="none" w:sz="0" w:space="0" w:color="auto"/>
        <w:left w:val="none" w:sz="0" w:space="0" w:color="auto"/>
        <w:bottom w:val="none" w:sz="0" w:space="0" w:color="auto"/>
        <w:right w:val="none" w:sz="0" w:space="0" w:color="auto"/>
      </w:divBdr>
    </w:div>
    <w:div w:id="806363655">
      <w:bodyDiv w:val="1"/>
      <w:marLeft w:val="0"/>
      <w:marRight w:val="0"/>
      <w:marTop w:val="0"/>
      <w:marBottom w:val="0"/>
      <w:divBdr>
        <w:top w:val="none" w:sz="0" w:space="0" w:color="auto"/>
        <w:left w:val="none" w:sz="0" w:space="0" w:color="auto"/>
        <w:bottom w:val="none" w:sz="0" w:space="0" w:color="auto"/>
        <w:right w:val="none" w:sz="0" w:space="0" w:color="auto"/>
      </w:divBdr>
    </w:div>
    <w:div w:id="812455092">
      <w:bodyDiv w:val="1"/>
      <w:marLeft w:val="0"/>
      <w:marRight w:val="0"/>
      <w:marTop w:val="0"/>
      <w:marBottom w:val="0"/>
      <w:divBdr>
        <w:top w:val="none" w:sz="0" w:space="0" w:color="auto"/>
        <w:left w:val="none" w:sz="0" w:space="0" w:color="auto"/>
        <w:bottom w:val="none" w:sz="0" w:space="0" w:color="auto"/>
        <w:right w:val="none" w:sz="0" w:space="0" w:color="auto"/>
      </w:divBdr>
    </w:div>
    <w:div w:id="839269273">
      <w:bodyDiv w:val="1"/>
      <w:marLeft w:val="0"/>
      <w:marRight w:val="0"/>
      <w:marTop w:val="0"/>
      <w:marBottom w:val="0"/>
      <w:divBdr>
        <w:top w:val="none" w:sz="0" w:space="0" w:color="auto"/>
        <w:left w:val="none" w:sz="0" w:space="0" w:color="auto"/>
        <w:bottom w:val="none" w:sz="0" w:space="0" w:color="auto"/>
        <w:right w:val="none" w:sz="0" w:space="0" w:color="auto"/>
      </w:divBdr>
    </w:div>
    <w:div w:id="851722971">
      <w:bodyDiv w:val="1"/>
      <w:marLeft w:val="0"/>
      <w:marRight w:val="0"/>
      <w:marTop w:val="0"/>
      <w:marBottom w:val="0"/>
      <w:divBdr>
        <w:top w:val="none" w:sz="0" w:space="0" w:color="auto"/>
        <w:left w:val="none" w:sz="0" w:space="0" w:color="auto"/>
        <w:bottom w:val="none" w:sz="0" w:space="0" w:color="auto"/>
        <w:right w:val="none" w:sz="0" w:space="0" w:color="auto"/>
      </w:divBdr>
    </w:div>
    <w:div w:id="85789109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39192">
      <w:bodyDiv w:val="1"/>
      <w:marLeft w:val="0"/>
      <w:marRight w:val="0"/>
      <w:marTop w:val="0"/>
      <w:marBottom w:val="0"/>
      <w:divBdr>
        <w:top w:val="none" w:sz="0" w:space="0" w:color="auto"/>
        <w:left w:val="none" w:sz="0" w:space="0" w:color="auto"/>
        <w:bottom w:val="none" w:sz="0" w:space="0" w:color="auto"/>
        <w:right w:val="none" w:sz="0" w:space="0" w:color="auto"/>
      </w:divBdr>
    </w:div>
    <w:div w:id="905921079">
      <w:bodyDiv w:val="1"/>
      <w:marLeft w:val="0"/>
      <w:marRight w:val="0"/>
      <w:marTop w:val="0"/>
      <w:marBottom w:val="0"/>
      <w:divBdr>
        <w:top w:val="none" w:sz="0" w:space="0" w:color="auto"/>
        <w:left w:val="none" w:sz="0" w:space="0" w:color="auto"/>
        <w:bottom w:val="none" w:sz="0" w:space="0" w:color="auto"/>
        <w:right w:val="none" w:sz="0" w:space="0" w:color="auto"/>
      </w:divBdr>
    </w:div>
    <w:div w:id="91319956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4969">
      <w:bodyDiv w:val="1"/>
      <w:marLeft w:val="0"/>
      <w:marRight w:val="0"/>
      <w:marTop w:val="0"/>
      <w:marBottom w:val="0"/>
      <w:divBdr>
        <w:top w:val="none" w:sz="0" w:space="0" w:color="auto"/>
        <w:left w:val="none" w:sz="0" w:space="0" w:color="auto"/>
        <w:bottom w:val="none" w:sz="0" w:space="0" w:color="auto"/>
        <w:right w:val="none" w:sz="0" w:space="0" w:color="auto"/>
      </w:divBdr>
    </w:div>
    <w:div w:id="995961031">
      <w:bodyDiv w:val="1"/>
      <w:marLeft w:val="0"/>
      <w:marRight w:val="0"/>
      <w:marTop w:val="0"/>
      <w:marBottom w:val="0"/>
      <w:divBdr>
        <w:top w:val="none" w:sz="0" w:space="0" w:color="auto"/>
        <w:left w:val="none" w:sz="0" w:space="0" w:color="auto"/>
        <w:bottom w:val="none" w:sz="0" w:space="0" w:color="auto"/>
        <w:right w:val="none" w:sz="0" w:space="0" w:color="auto"/>
      </w:divBdr>
    </w:div>
    <w:div w:id="1025903478">
      <w:bodyDiv w:val="1"/>
      <w:marLeft w:val="0"/>
      <w:marRight w:val="0"/>
      <w:marTop w:val="0"/>
      <w:marBottom w:val="0"/>
      <w:divBdr>
        <w:top w:val="none" w:sz="0" w:space="0" w:color="auto"/>
        <w:left w:val="none" w:sz="0" w:space="0" w:color="auto"/>
        <w:bottom w:val="none" w:sz="0" w:space="0" w:color="auto"/>
        <w:right w:val="none" w:sz="0" w:space="0" w:color="auto"/>
      </w:divBdr>
    </w:div>
    <w:div w:id="1042482215">
      <w:bodyDiv w:val="1"/>
      <w:marLeft w:val="0"/>
      <w:marRight w:val="0"/>
      <w:marTop w:val="0"/>
      <w:marBottom w:val="0"/>
      <w:divBdr>
        <w:top w:val="none" w:sz="0" w:space="0" w:color="auto"/>
        <w:left w:val="none" w:sz="0" w:space="0" w:color="auto"/>
        <w:bottom w:val="none" w:sz="0" w:space="0" w:color="auto"/>
        <w:right w:val="none" w:sz="0" w:space="0" w:color="auto"/>
      </w:divBdr>
    </w:div>
    <w:div w:id="1064985150">
      <w:bodyDiv w:val="1"/>
      <w:marLeft w:val="0"/>
      <w:marRight w:val="0"/>
      <w:marTop w:val="0"/>
      <w:marBottom w:val="0"/>
      <w:divBdr>
        <w:top w:val="none" w:sz="0" w:space="0" w:color="auto"/>
        <w:left w:val="none" w:sz="0" w:space="0" w:color="auto"/>
        <w:bottom w:val="none" w:sz="0" w:space="0" w:color="auto"/>
        <w:right w:val="none" w:sz="0" w:space="0" w:color="auto"/>
      </w:divBdr>
    </w:div>
    <w:div w:id="1073046915">
      <w:bodyDiv w:val="1"/>
      <w:marLeft w:val="0"/>
      <w:marRight w:val="0"/>
      <w:marTop w:val="0"/>
      <w:marBottom w:val="0"/>
      <w:divBdr>
        <w:top w:val="none" w:sz="0" w:space="0" w:color="auto"/>
        <w:left w:val="none" w:sz="0" w:space="0" w:color="auto"/>
        <w:bottom w:val="none" w:sz="0" w:space="0" w:color="auto"/>
        <w:right w:val="none" w:sz="0" w:space="0" w:color="auto"/>
      </w:divBdr>
    </w:div>
    <w:div w:id="1073427036">
      <w:bodyDiv w:val="1"/>
      <w:marLeft w:val="0"/>
      <w:marRight w:val="0"/>
      <w:marTop w:val="0"/>
      <w:marBottom w:val="0"/>
      <w:divBdr>
        <w:top w:val="none" w:sz="0" w:space="0" w:color="auto"/>
        <w:left w:val="none" w:sz="0" w:space="0" w:color="auto"/>
        <w:bottom w:val="none" w:sz="0" w:space="0" w:color="auto"/>
        <w:right w:val="none" w:sz="0" w:space="0" w:color="auto"/>
      </w:divBdr>
    </w:div>
    <w:div w:id="1080564712">
      <w:bodyDiv w:val="1"/>
      <w:marLeft w:val="0"/>
      <w:marRight w:val="0"/>
      <w:marTop w:val="0"/>
      <w:marBottom w:val="0"/>
      <w:divBdr>
        <w:top w:val="none" w:sz="0" w:space="0" w:color="auto"/>
        <w:left w:val="none" w:sz="0" w:space="0" w:color="auto"/>
        <w:bottom w:val="none" w:sz="0" w:space="0" w:color="auto"/>
        <w:right w:val="none" w:sz="0" w:space="0" w:color="auto"/>
      </w:divBdr>
    </w:div>
    <w:div w:id="1133714223">
      <w:bodyDiv w:val="1"/>
      <w:marLeft w:val="0"/>
      <w:marRight w:val="0"/>
      <w:marTop w:val="0"/>
      <w:marBottom w:val="0"/>
      <w:divBdr>
        <w:top w:val="none" w:sz="0" w:space="0" w:color="auto"/>
        <w:left w:val="none" w:sz="0" w:space="0" w:color="auto"/>
        <w:bottom w:val="none" w:sz="0" w:space="0" w:color="auto"/>
        <w:right w:val="none" w:sz="0" w:space="0" w:color="auto"/>
      </w:divBdr>
    </w:div>
    <w:div w:id="1136990335">
      <w:bodyDiv w:val="1"/>
      <w:marLeft w:val="0"/>
      <w:marRight w:val="0"/>
      <w:marTop w:val="0"/>
      <w:marBottom w:val="0"/>
      <w:divBdr>
        <w:top w:val="none" w:sz="0" w:space="0" w:color="auto"/>
        <w:left w:val="none" w:sz="0" w:space="0" w:color="auto"/>
        <w:bottom w:val="none" w:sz="0" w:space="0" w:color="auto"/>
        <w:right w:val="none" w:sz="0" w:space="0" w:color="auto"/>
      </w:divBdr>
    </w:div>
    <w:div w:id="1138106423">
      <w:bodyDiv w:val="1"/>
      <w:marLeft w:val="0"/>
      <w:marRight w:val="0"/>
      <w:marTop w:val="0"/>
      <w:marBottom w:val="0"/>
      <w:divBdr>
        <w:top w:val="none" w:sz="0" w:space="0" w:color="auto"/>
        <w:left w:val="none" w:sz="0" w:space="0" w:color="auto"/>
        <w:bottom w:val="none" w:sz="0" w:space="0" w:color="auto"/>
        <w:right w:val="none" w:sz="0" w:space="0" w:color="auto"/>
      </w:divBdr>
    </w:div>
    <w:div w:id="1168643051">
      <w:bodyDiv w:val="1"/>
      <w:marLeft w:val="0"/>
      <w:marRight w:val="0"/>
      <w:marTop w:val="0"/>
      <w:marBottom w:val="0"/>
      <w:divBdr>
        <w:top w:val="none" w:sz="0" w:space="0" w:color="auto"/>
        <w:left w:val="none" w:sz="0" w:space="0" w:color="auto"/>
        <w:bottom w:val="none" w:sz="0" w:space="0" w:color="auto"/>
        <w:right w:val="none" w:sz="0" w:space="0" w:color="auto"/>
      </w:divBdr>
    </w:div>
    <w:div w:id="1178078645">
      <w:bodyDiv w:val="1"/>
      <w:marLeft w:val="0"/>
      <w:marRight w:val="0"/>
      <w:marTop w:val="0"/>
      <w:marBottom w:val="0"/>
      <w:divBdr>
        <w:top w:val="none" w:sz="0" w:space="0" w:color="auto"/>
        <w:left w:val="none" w:sz="0" w:space="0" w:color="auto"/>
        <w:bottom w:val="none" w:sz="0" w:space="0" w:color="auto"/>
        <w:right w:val="none" w:sz="0" w:space="0" w:color="auto"/>
      </w:divBdr>
    </w:div>
    <w:div w:id="1186869993">
      <w:bodyDiv w:val="1"/>
      <w:marLeft w:val="0"/>
      <w:marRight w:val="0"/>
      <w:marTop w:val="0"/>
      <w:marBottom w:val="0"/>
      <w:divBdr>
        <w:top w:val="none" w:sz="0" w:space="0" w:color="auto"/>
        <w:left w:val="none" w:sz="0" w:space="0" w:color="auto"/>
        <w:bottom w:val="none" w:sz="0" w:space="0" w:color="auto"/>
        <w:right w:val="none" w:sz="0" w:space="0" w:color="auto"/>
      </w:divBdr>
    </w:div>
    <w:div w:id="1187673871">
      <w:bodyDiv w:val="1"/>
      <w:marLeft w:val="0"/>
      <w:marRight w:val="0"/>
      <w:marTop w:val="0"/>
      <w:marBottom w:val="0"/>
      <w:divBdr>
        <w:top w:val="none" w:sz="0" w:space="0" w:color="auto"/>
        <w:left w:val="none" w:sz="0" w:space="0" w:color="auto"/>
        <w:bottom w:val="none" w:sz="0" w:space="0" w:color="auto"/>
        <w:right w:val="none" w:sz="0" w:space="0" w:color="auto"/>
      </w:divBdr>
    </w:div>
    <w:div w:id="1194154997">
      <w:bodyDiv w:val="1"/>
      <w:marLeft w:val="0"/>
      <w:marRight w:val="0"/>
      <w:marTop w:val="0"/>
      <w:marBottom w:val="0"/>
      <w:divBdr>
        <w:top w:val="none" w:sz="0" w:space="0" w:color="auto"/>
        <w:left w:val="none" w:sz="0" w:space="0" w:color="auto"/>
        <w:bottom w:val="none" w:sz="0" w:space="0" w:color="auto"/>
        <w:right w:val="none" w:sz="0" w:space="0" w:color="auto"/>
      </w:divBdr>
      <w:divsChild>
        <w:div w:id="1459058792">
          <w:marLeft w:val="0"/>
          <w:marRight w:val="0"/>
          <w:marTop w:val="225"/>
          <w:marBottom w:val="225"/>
          <w:divBdr>
            <w:top w:val="none" w:sz="0" w:space="0" w:color="auto"/>
            <w:left w:val="none" w:sz="0" w:space="0" w:color="auto"/>
            <w:bottom w:val="none" w:sz="0" w:space="0" w:color="auto"/>
            <w:right w:val="none" w:sz="0" w:space="0" w:color="auto"/>
          </w:divBdr>
          <w:divsChild>
            <w:div w:id="1895660511">
              <w:marLeft w:val="0"/>
              <w:marRight w:val="0"/>
              <w:marTop w:val="0"/>
              <w:marBottom w:val="0"/>
              <w:divBdr>
                <w:top w:val="none" w:sz="0" w:space="0" w:color="auto"/>
                <w:left w:val="none" w:sz="0" w:space="0" w:color="auto"/>
                <w:bottom w:val="none" w:sz="0" w:space="0" w:color="auto"/>
                <w:right w:val="none" w:sz="0" w:space="0" w:color="auto"/>
              </w:divBdr>
              <w:divsChild>
                <w:div w:id="2121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4267">
      <w:bodyDiv w:val="1"/>
      <w:marLeft w:val="0"/>
      <w:marRight w:val="0"/>
      <w:marTop w:val="0"/>
      <w:marBottom w:val="0"/>
      <w:divBdr>
        <w:top w:val="none" w:sz="0" w:space="0" w:color="auto"/>
        <w:left w:val="none" w:sz="0" w:space="0" w:color="auto"/>
        <w:bottom w:val="none" w:sz="0" w:space="0" w:color="auto"/>
        <w:right w:val="none" w:sz="0" w:space="0" w:color="auto"/>
      </w:divBdr>
    </w:div>
    <w:div w:id="1221287750">
      <w:bodyDiv w:val="1"/>
      <w:marLeft w:val="0"/>
      <w:marRight w:val="0"/>
      <w:marTop w:val="0"/>
      <w:marBottom w:val="0"/>
      <w:divBdr>
        <w:top w:val="none" w:sz="0" w:space="0" w:color="auto"/>
        <w:left w:val="none" w:sz="0" w:space="0" w:color="auto"/>
        <w:bottom w:val="none" w:sz="0" w:space="0" w:color="auto"/>
        <w:right w:val="none" w:sz="0" w:space="0" w:color="auto"/>
      </w:divBdr>
    </w:div>
    <w:div w:id="1244484983">
      <w:bodyDiv w:val="1"/>
      <w:marLeft w:val="0"/>
      <w:marRight w:val="0"/>
      <w:marTop w:val="0"/>
      <w:marBottom w:val="0"/>
      <w:divBdr>
        <w:top w:val="none" w:sz="0" w:space="0" w:color="auto"/>
        <w:left w:val="none" w:sz="0" w:space="0" w:color="auto"/>
        <w:bottom w:val="none" w:sz="0" w:space="0" w:color="auto"/>
        <w:right w:val="none" w:sz="0" w:space="0" w:color="auto"/>
      </w:divBdr>
    </w:div>
    <w:div w:id="1256524417">
      <w:bodyDiv w:val="1"/>
      <w:marLeft w:val="0"/>
      <w:marRight w:val="0"/>
      <w:marTop w:val="0"/>
      <w:marBottom w:val="0"/>
      <w:divBdr>
        <w:top w:val="none" w:sz="0" w:space="0" w:color="auto"/>
        <w:left w:val="none" w:sz="0" w:space="0" w:color="auto"/>
        <w:bottom w:val="none" w:sz="0" w:space="0" w:color="auto"/>
        <w:right w:val="none" w:sz="0" w:space="0" w:color="auto"/>
      </w:divBdr>
    </w:div>
    <w:div w:id="1275868557">
      <w:bodyDiv w:val="1"/>
      <w:marLeft w:val="0"/>
      <w:marRight w:val="0"/>
      <w:marTop w:val="0"/>
      <w:marBottom w:val="0"/>
      <w:divBdr>
        <w:top w:val="none" w:sz="0" w:space="0" w:color="auto"/>
        <w:left w:val="none" w:sz="0" w:space="0" w:color="auto"/>
        <w:bottom w:val="none" w:sz="0" w:space="0" w:color="auto"/>
        <w:right w:val="none" w:sz="0" w:space="0" w:color="auto"/>
      </w:divBdr>
    </w:div>
    <w:div w:id="1276207712">
      <w:bodyDiv w:val="1"/>
      <w:marLeft w:val="0"/>
      <w:marRight w:val="0"/>
      <w:marTop w:val="0"/>
      <w:marBottom w:val="0"/>
      <w:divBdr>
        <w:top w:val="none" w:sz="0" w:space="0" w:color="auto"/>
        <w:left w:val="none" w:sz="0" w:space="0" w:color="auto"/>
        <w:bottom w:val="none" w:sz="0" w:space="0" w:color="auto"/>
        <w:right w:val="none" w:sz="0" w:space="0" w:color="auto"/>
      </w:divBdr>
    </w:div>
    <w:div w:id="1291396300">
      <w:bodyDiv w:val="1"/>
      <w:marLeft w:val="0"/>
      <w:marRight w:val="0"/>
      <w:marTop w:val="0"/>
      <w:marBottom w:val="0"/>
      <w:divBdr>
        <w:top w:val="none" w:sz="0" w:space="0" w:color="auto"/>
        <w:left w:val="none" w:sz="0" w:space="0" w:color="auto"/>
        <w:bottom w:val="none" w:sz="0" w:space="0" w:color="auto"/>
        <w:right w:val="none" w:sz="0" w:space="0" w:color="auto"/>
      </w:divBdr>
    </w:div>
    <w:div w:id="1315456081">
      <w:bodyDiv w:val="1"/>
      <w:marLeft w:val="0"/>
      <w:marRight w:val="0"/>
      <w:marTop w:val="0"/>
      <w:marBottom w:val="0"/>
      <w:divBdr>
        <w:top w:val="none" w:sz="0" w:space="0" w:color="auto"/>
        <w:left w:val="none" w:sz="0" w:space="0" w:color="auto"/>
        <w:bottom w:val="none" w:sz="0" w:space="0" w:color="auto"/>
        <w:right w:val="none" w:sz="0" w:space="0" w:color="auto"/>
      </w:divBdr>
    </w:div>
    <w:div w:id="1325011364">
      <w:bodyDiv w:val="1"/>
      <w:marLeft w:val="0"/>
      <w:marRight w:val="0"/>
      <w:marTop w:val="0"/>
      <w:marBottom w:val="0"/>
      <w:divBdr>
        <w:top w:val="none" w:sz="0" w:space="0" w:color="auto"/>
        <w:left w:val="none" w:sz="0" w:space="0" w:color="auto"/>
        <w:bottom w:val="none" w:sz="0" w:space="0" w:color="auto"/>
        <w:right w:val="none" w:sz="0" w:space="0" w:color="auto"/>
      </w:divBdr>
    </w:div>
    <w:div w:id="1335569543">
      <w:bodyDiv w:val="1"/>
      <w:marLeft w:val="0"/>
      <w:marRight w:val="0"/>
      <w:marTop w:val="0"/>
      <w:marBottom w:val="0"/>
      <w:divBdr>
        <w:top w:val="none" w:sz="0" w:space="0" w:color="auto"/>
        <w:left w:val="none" w:sz="0" w:space="0" w:color="auto"/>
        <w:bottom w:val="none" w:sz="0" w:space="0" w:color="auto"/>
        <w:right w:val="none" w:sz="0" w:space="0" w:color="auto"/>
      </w:divBdr>
    </w:div>
    <w:div w:id="1353847360">
      <w:bodyDiv w:val="1"/>
      <w:marLeft w:val="0"/>
      <w:marRight w:val="0"/>
      <w:marTop w:val="0"/>
      <w:marBottom w:val="0"/>
      <w:divBdr>
        <w:top w:val="none" w:sz="0" w:space="0" w:color="auto"/>
        <w:left w:val="none" w:sz="0" w:space="0" w:color="auto"/>
        <w:bottom w:val="none" w:sz="0" w:space="0" w:color="auto"/>
        <w:right w:val="none" w:sz="0" w:space="0" w:color="auto"/>
      </w:divBdr>
    </w:div>
    <w:div w:id="1354723496">
      <w:bodyDiv w:val="1"/>
      <w:marLeft w:val="0"/>
      <w:marRight w:val="0"/>
      <w:marTop w:val="0"/>
      <w:marBottom w:val="0"/>
      <w:divBdr>
        <w:top w:val="none" w:sz="0" w:space="0" w:color="auto"/>
        <w:left w:val="none" w:sz="0" w:space="0" w:color="auto"/>
        <w:bottom w:val="none" w:sz="0" w:space="0" w:color="auto"/>
        <w:right w:val="none" w:sz="0" w:space="0" w:color="auto"/>
      </w:divBdr>
    </w:div>
    <w:div w:id="1370691997">
      <w:bodyDiv w:val="1"/>
      <w:marLeft w:val="0"/>
      <w:marRight w:val="0"/>
      <w:marTop w:val="0"/>
      <w:marBottom w:val="0"/>
      <w:divBdr>
        <w:top w:val="none" w:sz="0" w:space="0" w:color="auto"/>
        <w:left w:val="none" w:sz="0" w:space="0" w:color="auto"/>
        <w:bottom w:val="none" w:sz="0" w:space="0" w:color="auto"/>
        <w:right w:val="none" w:sz="0" w:space="0" w:color="auto"/>
      </w:divBdr>
    </w:div>
    <w:div w:id="141597787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9087837">
      <w:bodyDiv w:val="1"/>
      <w:marLeft w:val="0"/>
      <w:marRight w:val="0"/>
      <w:marTop w:val="0"/>
      <w:marBottom w:val="0"/>
      <w:divBdr>
        <w:top w:val="none" w:sz="0" w:space="0" w:color="auto"/>
        <w:left w:val="none" w:sz="0" w:space="0" w:color="auto"/>
        <w:bottom w:val="none" w:sz="0" w:space="0" w:color="auto"/>
        <w:right w:val="none" w:sz="0" w:space="0" w:color="auto"/>
      </w:divBdr>
    </w:div>
    <w:div w:id="1458065725">
      <w:bodyDiv w:val="1"/>
      <w:marLeft w:val="0"/>
      <w:marRight w:val="0"/>
      <w:marTop w:val="0"/>
      <w:marBottom w:val="0"/>
      <w:divBdr>
        <w:top w:val="none" w:sz="0" w:space="0" w:color="auto"/>
        <w:left w:val="none" w:sz="0" w:space="0" w:color="auto"/>
        <w:bottom w:val="none" w:sz="0" w:space="0" w:color="auto"/>
        <w:right w:val="none" w:sz="0" w:space="0" w:color="auto"/>
      </w:divBdr>
    </w:div>
    <w:div w:id="1458252436">
      <w:bodyDiv w:val="1"/>
      <w:marLeft w:val="0"/>
      <w:marRight w:val="0"/>
      <w:marTop w:val="0"/>
      <w:marBottom w:val="0"/>
      <w:divBdr>
        <w:top w:val="none" w:sz="0" w:space="0" w:color="auto"/>
        <w:left w:val="none" w:sz="0" w:space="0" w:color="auto"/>
        <w:bottom w:val="none" w:sz="0" w:space="0" w:color="auto"/>
        <w:right w:val="none" w:sz="0" w:space="0" w:color="auto"/>
      </w:divBdr>
    </w:div>
    <w:div w:id="1467039620">
      <w:bodyDiv w:val="1"/>
      <w:marLeft w:val="0"/>
      <w:marRight w:val="0"/>
      <w:marTop w:val="0"/>
      <w:marBottom w:val="0"/>
      <w:divBdr>
        <w:top w:val="none" w:sz="0" w:space="0" w:color="auto"/>
        <w:left w:val="none" w:sz="0" w:space="0" w:color="auto"/>
        <w:bottom w:val="none" w:sz="0" w:space="0" w:color="auto"/>
        <w:right w:val="none" w:sz="0" w:space="0" w:color="auto"/>
      </w:divBdr>
    </w:div>
    <w:div w:id="1482113544">
      <w:bodyDiv w:val="1"/>
      <w:marLeft w:val="0"/>
      <w:marRight w:val="0"/>
      <w:marTop w:val="0"/>
      <w:marBottom w:val="0"/>
      <w:divBdr>
        <w:top w:val="none" w:sz="0" w:space="0" w:color="auto"/>
        <w:left w:val="none" w:sz="0" w:space="0" w:color="auto"/>
        <w:bottom w:val="none" w:sz="0" w:space="0" w:color="auto"/>
        <w:right w:val="none" w:sz="0" w:space="0" w:color="auto"/>
      </w:divBdr>
    </w:div>
    <w:div w:id="1482232381">
      <w:bodyDiv w:val="1"/>
      <w:marLeft w:val="0"/>
      <w:marRight w:val="0"/>
      <w:marTop w:val="0"/>
      <w:marBottom w:val="0"/>
      <w:divBdr>
        <w:top w:val="none" w:sz="0" w:space="0" w:color="auto"/>
        <w:left w:val="none" w:sz="0" w:space="0" w:color="auto"/>
        <w:bottom w:val="none" w:sz="0" w:space="0" w:color="auto"/>
        <w:right w:val="none" w:sz="0" w:space="0" w:color="auto"/>
      </w:divBdr>
    </w:div>
    <w:div w:id="1486126707">
      <w:bodyDiv w:val="1"/>
      <w:marLeft w:val="0"/>
      <w:marRight w:val="0"/>
      <w:marTop w:val="0"/>
      <w:marBottom w:val="0"/>
      <w:divBdr>
        <w:top w:val="none" w:sz="0" w:space="0" w:color="auto"/>
        <w:left w:val="none" w:sz="0" w:space="0" w:color="auto"/>
        <w:bottom w:val="none" w:sz="0" w:space="0" w:color="auto"/>
        <w:right w:val="none" w:sz="0" w:space="0" w:color="auto"/>
      </w:divBdr>
    </w:div>
    <w:div w:id="148886043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2501728">
      <w:bodyDiv w:val="1"/>
      <w:marLeft w:val="0"/>
      <w:marRight w:val="0"/>
      <w:marTop w:val="0"/>
      <w:marBottom w:val="0"/>
      <w:divBdr>
        <w:top w:val="none" w:sz="0" w:space="0" w:color="auto"/>
        <w:left w:val="none" w:sz="0" w:space="0" w:color="auto"/>
        <w:bottom w:val="none" w:sz="0" w:space="0" w:color="auto"/>
        <w:right w:val="none" w:sz="0" w:space="0" w:color="auto"/>
      </w:divBdr>
    </w:div>
    <w:div w:id="1523204532">
      <w:bodyDiv w:val="1"/>
      <w:marLeft w:val="0"/>
      <w:marRight w:val="0"/>
      <w:marTop w:val="0"/>
      <w:marBottom w:val="0"/>
      <w:divBdr>
        <w:top w:val="none" w:sz="0" w:space="0" w:color="auto"/>
        <w:left w:val="none" w:sz="0" w:space="0" w:color="auto"/>
        <w:bottom w:val="none" w:sz="0" w:space="0" w:color="auto"/>
        <w:right w:val="none" w:sz="0" w:space="0" w:color="auto"/>
      </w:divBdr>
    </w:div>
    <w:div w:id="1535457055">
      <w:bodyDiv w:val="1"/>
      <w:marLeft w:val="0"/>
      <w:marRight w:val="0"/>
      <w:marTop w:val="0"/>
      <w:marBottom w:val="0"/>
      <w:divBdr>
        <w:top w:val="none" w:sz="0" w:space="0" w:color="auto"/>
        <w:left w:val="none" w:sz="0" w:space="0" w:color="auto"/>
        <w:bottom w:val="none" w:sz="0" w:space="0" w:color="auto"/>
        <w:right w:val="none" w:sz="0" w:space="0" w:color="auto"/>
      </w:divBdr>
    </w:div>
    <w:div w:id="1590042487">
      <w:bodyDiv w:val="1"/>
      <w:marLeft w:val="0"/>
      <w:marRight w:val="0"/>
      <w:marTop w:val="0"/>
      <w:marBottom w:val="0"/>
      <w:divBdr>
        <w:top w:val="none" w:sz="0" w:space="0" w:color="auto"/>
        <w:left w:val="none" w:sz="0" w:space="0" w:color="auto"/>
        <w:bottom w:val="none" w:sz="0" w:space="0" w:color="auto"/>
        <w:right w:val="none" w:sz="0" w:space="0" w:color="auto"/>
      </w:divBdr>
    </w:div>
    <w:div w:id="1593657900">
      <w:bodyDiv w:val="1"/>
      <w:marLeft w:val="0"/>
      <w:marRight w:val="0"/>
      <w:marTop w:val="0"/>
      <w:marBottom w:val="0"/>
      <w:divBdr>
        <w:top w:val="none" w:sz="0" w:space="0" w:color="auto"/>
        <w:left w:val="none" w:sz="0" w:space="0" w:color="auto"/>
        <w:bottom w:val="none" w:sz="0" w:space="0" w:color="auto"/>
        <w:right w:val="none" w:sz="0" w:space="0" w:color="auto"/>
      </w:divBdr>
    </w:div>
    <w:div w:id="1615674476">
      <w:bodyDiv w:val="1"/>
      <w:marLeft w:val="0"/>
      <w:marRight w:val="0"/>
      <w:marTop w:val="0"/>
      <w:marBottom w:val="0"/>
      <w:divBdr>
        <w:top w:val="none" w:sz="0" w:space="0" w:color="auto"/>
        <w:left w:val="none" w:sz="0" w:space="0" w:color="auto"/>
        <w:bottom w:val="none" w:sz="0" w:space="0" w:color="auto"/>
        <w:right w:val="none" w:sz="0" w:space="0" w:color="auto"/>
      </w:divBdr>
    </w:div>
    <w:div w:id="1623730860">
      <w:bodyDiv w:val="1"/>
      <w:marLeft w:val="0"/>
      <w:marRight w:val="0"/>
      <w:marTop w:val="0"/>
      <w:marBottom w:val="0"/>
      <w:divBdr>
        <w:top w:val="none" w:sz="0" w:space="0" w:color="auto"/>
        <w:left w:val="none" w:sz="0" w:space="0" w:color="auto"/>
        <w:bottom w:val="none" w:sz="0" w:space="0" w:color="auto"/>
        <w:right w:val="none" w:sz="0" w:space="0" w:color="auto"/>
      </w:divBdr>
    </w:div>
    <w:div w:id="1625497814">
      <w:bodyDiv w:val="1"/>
      <w:marLeft w:val="0"/>
      <w:marRight w:val="0"/>
      <w:marTop w:val="0"/>
      <w:marBottom w:val="0"/>
      <w:divBdr>
        <w:top w:val="none" w:sz="0" w:space="0" w:color="auto"/>
        <w:left w:val="none" w:sz="0" w:space="0" w:color="auto"/>
        <w:bottom w:val="none" w:sz="0" w:space="0" w:color="auto"/>
        <w:right w:val="none" w:sz="0" w:space="0" w:color="auto"/>
      </w:divBdr>
    </w:div>
    <w:div w:id="1627076247">
      <w:bodyDiv w:val="1"/>
      <w:marLeft w:val="0"/>
      <w:marRight w:val="0"/>
      <w:marTop w:val="0"/>
      <w:marBottom w:val="0"/>
      <w:divBdr>
        <w:top w:val="none" w:sz="0" w:space="0" w:color="auto"/>
        <w:left w:val="none" w:sz="0" w:space="0" w:color="auto"/>
        <w:bottom w:val="none" w:sz="0" w:space="0" w:color="auto"/>
        <w:right w:val="none" w:sz="0" w:space="0" w:color="auto"/>
      </w:divBdr>
    </w:div>
    <w:div w:id="1671249424">
      <w:bodyDiv w:val="1"/>
      <w:marLeft w:val="0"/>
      <w:marRight w:val="0"/>
      <w:marTop w:val="0"/>
      <w:marBottom w:val="0"/>
      <w:divBdr>
        <w:top w:val="none" w:sz="0" w:space="0" w:color="auto"/>
        <w:left w:val="none" w:sz="0" w:space="0" w:color="auto"/>
        <w:bottom w:val="none" w:sz="0" w:space="0" w:color="auto"/>
        <w:right w:val="none" w:sz="0" w:space="0" w:color="auto"/>
      </w:divBdr>
    </w:div>
    <w:div w:id="1676836719">
      <w:bodyDiv w:val="1"/>
      <w:marLeft w:val="0"/>
      <w:marRight w:val="0"/>
      <w:marTop w:val="0"/>
      <w:marBottom w:val="0"/>
      <w:divBdr>
        <w:top w:val="none" w:sz="0" w:space="0" w:color="auto"/>
        <w:left w:val="none" w:sz="0" w:space="0" w:color="auto"/>
        <w:bottom w:val="none" w:sz="0" w:space="0" w:color="auto"/>
        <w:right w:val="none" w:sz="0" w:space="0" w:color="auto"/>
      </w:divBdr>
    </w:div>
    <w:div w:id="168115984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563">
      <w:bodyDiv w:val="1"/>
      <w:marLeft w:val="0"/>
      <w:marRight w:val="0"/>
      <w:marTop w:val="0"/>
      <w:marBottom w:val="0"/>
      <w:divBdr>
        <w:top w:val="none" w:sz="0" w:space="0" w:color="auto"/>
        <w:left w:val="none" w:sz="0" w:space="0" w:color="auto"/>
        <w:bottom w:val="none" w:sz="0" w:space="0" w:color="auto"/>
        <w:right w:val="none" w:sz="0" w:space="0" w:color="auto"/>
      </w:divBdr>
    </w:div>
    <w:div w:id="1702392241">
      <w:bodyDiv w:val="1"/>
      <w:marLeft w:val="0"/>
      <w:marRight w:val="0"/>
      <w:marTop w:val="0"/>
      <w:marBottom w:val="0"/>
      <w:divBdr>
        <w:top w:val="none" w:sz="0" w:space="0" w:color="auto"/>
        <w:left w:val="none" w:sz="0" w:space="0" w:color="auto"/>
        <w:bottom w:val="none" w:sz="0" w:space="0" w:color="auto"/>
        <w:right w:val="none" w:sz="0" w:space="0" w:color="auto"/>
      </w:divBdr>
    </w:div>
    <w:div w:id="1711610103">
      <w:bodyDiv w:val="1"/>
      <w:marLeft w:val="0"/>
      <w:marRight w:val="0"/>
      <w:marTop w:val="0"/>
      <w:marBottom w:val="0"/>
      <w:divBdr>
        <w:top w:val="none" w:sz="0" w:space="0" w:color="auto"/>
        <w:left w:val="none" w:sz="0" w:space="0" w:color="auto"/>
        <w:bottom w:val="none" w:sz="0" w:space="0" w:color="auto"/>
        <w:right w:val="none" w:sz="0" w:space="0" w:color="auto"/>
      </w:divBdr>
    </w:div>
    <w:div w:id="1716270720">
      <w:bodyDiv w:val="1"/>
      <w:marLeft w:val="0"/>
      <w:marRight w:val="0"/>
      <w:marTop w:val="0"/>
      <w:marBottom w:val="0"/>
      <w:divBdr>
        <w:top w:val="none" w:sz="0" w:space="0" w:color="auto"/>
        <w:left w:val="none" w:sz="0" w:space="0" w:color="auto"/>
        <w:bottom w:val="none" w:sz="0" w:space="0" w:color="auto"/>
        <w:right w:val="none" w:sz="0" w:space="0" w:color="auto"/>
      </w:divBdr>
    </w:div>
    <w:div w:id="1716391043">
      <w:bodyDiv w:val="1"/>
      <w:marLeft w:val="0"/>
      <w:marRight w:val="0"/>
      <w:marTop w:val="0"/>
      <w:marBottom w:val="0"/>
      <w:divBdr>
        <w:top w:val="none" w:sz="0" w:space="0" w:color="auto"/>
        <w:left w:val="none" w:sz="0" w:space="0" w:color="auto"/>
        <w:bottom w:val="none" w:sz="0" w:space="0" w:color="auto"/>
        <w:right w:val="none" w:sz="0" w:space="0" w:color="auto"/>
      </w:divBdr>
    </w:div>
    <w:div w:id="1748260306">
      <w:bodyDiv w:val="1"/>
      <w:marLeft w:val="0"/>
      <w:marRight w:val="0"/>
      <w:marTop w:val="0"/>
      <w:marBottom w:val="0"/>
      <w:divBdr>
        <w:top w:val="none" w:sz="0" w:space="0" w:color="auto"/>
        <w:left w:val="none" w:sz="0" w:space="0" w:color="auto"/>
        <w:bottom w:val="none" w:sz="0" w:space="0" w:color="auto"/>
        <w:right w:val="none" w:sz="0" w:space="0" w:color="auto"/>
      </w:divBdr>
    </w:div>
    <w:div w:id="1765109129">
      <w:bodyDiv w:val="1"/>
      <w:marLeft w:val="0"/>
      <w:marRight w:val="0"/>
      <w:marTop w:val="0"/>
      <w:marBottom w:val="0"/>
      <w:divBdr>
        <w:top w:val="none" w:sz="0" w:space="0" w:color="auto"/>
        <w:left w:val="none" w:sz="0" w:space="0" w:color="auto"/>
        <w:bottom w:val="none" w:sz="0" w:space="0" w:color="auto"/>
        <w:right w:val="none" w:sz="0" w:space="0" w:color="auto"/>
      </w:divBdr>
    </w:div>
    <w:div w:id="1770345438">
      <w:bodyDiv w:val="1"/>
      <w:marLeft w:val="0"/>
      <w:marRight w:val="0"/>
      <w:marTop w:val="0"/>
      <w:marBottom w:val="0"/>
      <w:divBdr>
        <w:top w:val="none" w:sz="0" w:space="0" w:color="auto"/>
        <w:left w:val="none" w:sz="0" w:space="0" w:color="auto"/>
        <w:bottom w:val="none" w:sz="0" w:space="0" w:color="auto"/>
        <w:right w:val="none" w:sz="0" w:space="0" w:color="auto"/>
      </w:divBdr>
      <w:divsChild>
        <w:div w:id="2096047356">
          <w:marLeft w:val="0"/>
          <w:marRight w:val="0"/>
          <w:marTop w:val="225"/>
          <w:marBottom w:val="225"/>
          <w:divBdr>
            <w:top w:val="none" w:sz="0" w:space="0" w:color="auto"/>
            <w:left w:val="none" w:sz="0" w:space="0" w:color="auto"/>
            <w:bottom w:val="none" w:sz="0" w:space="0" w:color="auto"/>
            <w:right w:val="none" w:sz="0" w:space="0" w:color="auto"/>
          </w:divBdr>
          <w:divsChild>
            <w:div w:id="968516208">
              <w:marLeft w:val="0"/>
              <w:marRight w:val="0"/>
              <w:marTop w:val="0"/>
              <w:marBottom w:val="0"/>
              <w:divBdr>
                <w:top w:val="none" w:sz="0" w:space="0" w:color="auto"/>
                <w:left w:val="none" w:sz="0" w:space="0" w:color="auto"/>
                <w:bottom w:val="none" w:sz="0" w:space="0" w:color="auto"/>
                <w:right w:val="none" w:sz="0" w:space="0" w:color="auto"/>
              </w:divBdr>
              <w:divsChild>
                <w:div w:id="21145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3524">
      <w:bodyDiv w:val="1"/>
      <w:marLeft w:val="0"/>
      <w:marRight w:val="0"/>
      <w:marTop w:val="0"/>
      <w:marBottom w:val="0"/>
      <w:divBdr>
        <w:top w:val="none" w:sz="0" w:space="0" w:color="auto"/>
        <w:left w:val="none" w:sz="0" w:space="0" w:color="auto"/>
        <w:bottom w:val="none" w:sz="0" w:space="0" w:color="auto"/>
        <w:right w:val="none" w:sz="0" w:space="0" w:color="auto"/>
      </w:divBdr>
    </w:div>
    <w:div w:id="1837304101">
      <w:bodyDiv w:val="1"/>
      <w:marLeft w:val="0"/>
      <w:marRight w:val="0"/>
      <w:marTop w:val="0"/>
      <w:marBottom w:val="0"/>
      <w:divBdr>
        <w:top w:val="none" w:sz="0" w:space="0" w:color="auto"/>
        <w:left w:val="none" w:sz="0" w:space="0" w:color="auto"/>
        <w:bottom w:val="none" w:sz="0" w:space="0" w:color="auto"/>
        <w:right w:val="none" w:sz="0" w:space="0" w:color="auto"/>
      </w:divBdr>
    </w:div>
    <w:div w:id="1857689397">
      <w:bodyDiv w:val="1"/>
      <w:marLeft w:val="0"/>
      <w:marRight w:val="0"/>
      <w:marTop w:val="0"/>
      <w:marBottom w:val="0"/>
      <w:divBdr>
        <w:top w:val="none" w:sz="0" w:space="0" w:color="auto"/>
        <w:left w:val="none" w:sz="0" w:space="0" w:color="auto"/>
        <w:bottom w:val="none" w:sz="0" w:space="0" w:color="auto"/>
        <w:right w:val="none" w:sz="0" w:space="0" w:color="auto"/>
      </w:divBdr>
    </w:div>
    <w:div w:id="1867404872">
      <w:bodyDiv w:val="1"/>
      <w:marLeft w:val="0"/>
      <w:marRight w:val="0"/>
      <w:marTop w:val="0"/>
      <w:marBottom w:val="0"/>
      <w:divBdr>
        <w:top w:val="none" w:sz="0" w:space="0" w:color="auto"/>
        <w:left w:val="none" w:sz="0" w:space="0" w:color="auto"/>
        <w:bottom w:val="none" w:sz="0" w:space="0" w:color="auto"/>
        <w:right w:val="none" w:sz="0" w:space="0" w:color="auto"/>
      </w:divBdr>
    </w:div>
    <w:div w:id="1902785484">
      <w:bodyDiv w:val="1"/>
      <w:marLeft w:val="0"/>
      <w:marRight w:val="0"/>
      <w:marTop w:val="0"/>
      <w:marBottom w:val="0"/>
      <w:divBdr>
        <w:top w:val="none" w:sz="0" w:space="0" w:color="auto"/>
        <w:left w:val="none" w:sz="0" w:space="0" w:color="auto"/>
        <w:bottom w:val="none" w:sz="0" w:space="0" w:color="auto"/>
        <w:right w:val="none" w:sz="0" w:space="0" w:color="auto"/>
      </w:divBdr>
    </w:div>
    <w:div w:id="1905332960">
      <w:bodyDiv w:val="1"/>
      <w:marLeft w:val="0"/>
      <w:marRight w:val="0"/>
      <w:marTop w:val="0"/>
      <w:marBottom w:val="0"/>
      <w:divBdr>
        <w:top w:val="none" w:sz="0" w:space="0" w:color="auto"/>
        <w:left w:val="none" w:sz="0" w:space="0" w:color="auto"/>
        <w:bottom w:val="none" w:sz="0" w:space="0" w:color="auto"/>
        <w:right w:val="none" w:sz="0" w:space="0" w:color="auto"/>
      </w:divBdr>
    </w:div>
    <w:div w:id="1937058744">
      <w:bodyDiv w:val="1"/>
      <w:marLeft w:val="0"/>
      <w:marRight w:val="0"/>
      <w:marTop w:val="0"/>
      <w:marBottom w:val="0"/>
      <w:divBdr>
        <w:top w:val="none" w:sz="0" w:space="0" w:color="auto"/>
        <w:left w:val="none" w:sz="0" w:space="0" w:color="auto"/>
        <w:bottom w:val="none" w:sz="0" w:space="0" w:color="auto"/>
        <w:right w:val="none" w:sz="0" w:space="0" w:color="auto"/>
      </w:divBdr>
    </w:div>
    <w:div w:id="1937442391">
      <w:bodyDiv w:val="1"/>
      <w:marLeft w:val="0"/>
      <w:marRight w:val="0"/>
      <w:marTop w:val="0"/>
      <w:marBottom w:val="0"/>
      <w:divBdr>
        <w:top w:val="none" w:sz="0" w:space="0" w:color="auto"/>
        <w:left w:val="none" w:sz="0" w:space="0" w:color="auto"/>
        <w:bottom w:val="none" w:sz="0" w:space="0" w:color="auto"/>
        <w:right w:val="none" w:sz="0" w:space="0" w:color="auto"/>
      </w:divBdr>
    </w:div>
    <w:div w:id="1966813374">
      <w:bodyDiv w:val="1"/>
      <w:marLeft w:val="0"/>
      <w:marRight w:val="0"/>
      <w:marTop w:val="0"/>
      <w:marBottom w:val="0"/>
      <w:divBdr>
        <w:top w:val="none" w:sz="0" w:space="0" w:color="auto"/>
        <w:left w:val="none" w:sz="0" w:space="0" w:color="auto"/>
        <w:bottom w:val="none" w:sz="0" w:space="0" w:color="auto"/>
        <w:right w:val="none" w:sz="0" w:space="0" w:color="auto"/>
      </w:divBdr>
    </w:div>
    <w:div w:id="1976451161">
      <w:bodyDiv w:val="1"/>
      <w:marLeft w:val="0"/>
      <w:marRight w:val="0"/>
      <w:marTop w:val="0"/>
      <w:marBottom w:val="0"/>
      <w:divBdr>
        <w:top w:val="none" w:sz="0" w:space="0" w:color="auto"/>
        <w:left w:val="none" w:sz="0" w:space="0" w:color="auto"/>
        <w:bottom w:val="none" w:sz="0" w:space="0" w:color="auto"/>
        <w:right w:val="none" w:sz="0" w:space="0" w:color="auto"/>
      </w:divBdr>
    </w:div>
    <w:div w:id="1984237492">
      <w:bodyDiv w:val="1"/>
      <w:marLeft w:val="0"/>
      <w:marRight w:val="0"/>
      <w:marTop w:val="0"/>
      <w:marBottom w:val="0"/>
      <w:divBdr>
        <w:top w:val="none" w:sz="0" w:space="0" w:color="auto"/>
        <w:left w:val="none" w:sz="0" w:space="0" w:color="auto"/>
        <w:bottom w:val="none" w:sz="0" w:space="0" w:color="auto"/>
        <w:right w:val="none" w:sz="0" w:space="0" w:color="auto"/>
      </w:divBdr>
    </w:div>
    <w:div w:id="1987971150">
      <w:bodyDiv w:val="1"/>
      <w:marLeft w:val="0"/>
      <w:marRight w:val="0"/>
      <w:marTop w:val="0"/>
      <w:marBottom w:val="0"/>
      <w:divBdr>
        <w:top w:val="none" w:sz="0" w:space="0" w:color="auto"/>
        <w:left w:val="none" w:sz="0" w:space="0" w:color="auto"/>
        <w:bottom w:val="none" w:sz="0" w:space="0" w:color="auto"/>
        <w:right w:val="none" w:sz="0" w:space="0" w:color="auto"/>
      </w:divBdr>
    </w:div>
    <w:div w:id="1998797072">
      <w:bodyDiv w:val="1"/>
      <w:marLeft w:val="0"/>
      <w:marRight w:val="0"/>
      <w:marTop w:val="0"/>
      <w:marBottom w:val="0"/>
      <w:divBdr>
        <w:top w:val="none" w:sz="0" w:space="0" w:color="auto"/>
        <w:left w:val="none" w:sz="0" w:space="0" w:color="auto"/>
        <w:bottom w:val="none" w:sz="0" w:space="0" w:color="auto"/>
        <w:right w:val="none" w:sz="0" w:space="0" w:color="auto"/>
      </w:divBdr>
    </w:div>
    <w:div w:id="2041396666">
      <w:bodyDiv w:val="1"/>
      <w:marLeft w:val="0"/>
      <w:marRight w:val="0"/>
      <w:marTop w:val="0"/>
      <w:marBottom w:val="0"/>
      <w:divBdr>
        <w:top w:val="none" w:sz="0" w:space="0" w:color="auto"/>
        <w:left w:val="none" w:sz="0" w:space="0" w:color="auto"/>
        <w:bottom w:val="none" w:sz="0" w:space="0" w:color="auto"/>
        <w:right w:val="none" w:sz="0" w:space="0" w:color="auto"/>
      </w:divBdr>
    </w:div>
    <w:div w:id="2045787619">
      <w:bodyDiv w:val="1"/>
      <w:marLeft w:val="0"/>
      <w:marRight w:val="0"/>
      <w:marTop w:val="0"/>
      <w:marBottom w:val="0"/>
      <w:divBdr>
        <w:top w:val="none" w:sz="0" w:space="0" w:color="auto"/>
        <w:left w:val="none" w:sz="0" w:space="0" w:color="auto"/>
        <w:bottom w:val="none" w:sz="0" w:space="0" w:color="auto"/>
        <w:right w:val="none" w:sz="0" w:space="0" w:color="auto"/>
      </w:divBdr>
    </w:div>
    <w:div w:id="2103990060">
      <w:bodyDiv w:val="1"/>
      <w:marLeft w:val="0"/>
      <w:marRight w:val="0"/>
      <w:marTop w:val="0"/>
      <w:marBottom w:val="0"/>
      <w:divBdr>
        <w:top w:val="none" w:sz="0" w:space="0" w:color="auto"/>
        <w:left w:val="none" w:sz="0" w:space="0" w:color="auto"/>
        <w:bottom w:val="none" w:sz="0" w:space="0" w:color="auto"/>
        <w:right w:val="none" w:sz="0" w:space="0" w:color="auto"/>
      </w:divBdr>
    </w:div>
    <w:div w:id="2117287307">
      <w:bodyDiv w:val="1"/>
      <w:marLeft w:val="0"/>
      <w:marRight w:val="0"/>
      <w:marTop w:val="0"/>
      <w:marBottom w:val="0"/>
      <w:divBdr>
        <w:top w:val="none" w:sz="0" w:space="0" w:color="auto"/>
        <w:left w:val="none" w:sz="0" w:space="0" w:color="auto"/>
        <w:bottom w:val="none" w:sz="0" w:space="0" w:color="auto"/>
        <w:right w:val="none" w:sz="0" w:space="0" w:color="auto"/>
      </w:divBdr>
    </w:div>
    <w:div w:id="212206432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s://www-sciencedirect-com.crai-ustadigital.usantotomas.edu.co/science/article/pii/S092575352200011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sciencedirect-com.crai-ustadigital.usantotomas.edu.co/science/article/pii/S092575352200011X" TargetMode="External"/><Relationship Id="rId2" Type="http://schemas.openxmlformats.org/officeDocument/2006/relationships/numbering" Target="numbering.xml"/><Relationship Id="rId16" Type="http://schemas.openxmlformats.org/officeDocument/2006/relationships/hyperlink" Target="https://www-sciencedirect-com.crai-ustadigital.usantotomas.edu.co/science/article/pii/S092575352200011X" TargetMode="External"/><Relationship Id="rId20" Type="http://schemas.openxmlformats.org/officeDocument/2006/relationships/hyperlink" Target="https://www.sciencedirect.com/science/journal/095965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graciar@udistrital.edu.co" TargetMode="External"/><Relationship Id="rId5" Type="http://schemas.openxmlformats.org/officeDocument/2006/relationships/webSettings" Target="webSettings.xml"/><Relationship Id="rId15" Type="http://schemas.openxmlformats.org/officeDocument/2006/relationships/hyperlink" Target="https://www-sciencedirect-com.crai-ustadigital.usantotomas.edu.co/journal/procedia-computer-science" TargetMode="External"/><Relationship Id="rId10" Type="http://schemas.openxmlformats.org/officeDocument/2006/relationships/hyperlink" Target="mailto:ivan.cabeza@unisabana.edu.co" TargetMode="External"/><Relationship Id="rId19" Type="http://schemas.openxmlformats.org/officeDocument/2006/relationships/hyperlink" Target="https://www-sciencedirect-com.crai-ustadigital.usantotomas.edu.co/journal/safety-scie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ncedirect-com.crai-ustadigital.usantotomas.edu.co/science/article/pii/S1877050919313183"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SI\AppData\Local\Temp\Rar$DIa7396.12266\FO-SST-MAT-001%20-%20MATRIZ%20GTC%204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SI\AppData\Local\Temp\Rar$DIa7396.12266\FO-SST-MAT-001%20-%20MATRIZ%20GTC%204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solidFill>
                  <a:schemeClr val="tx1"/>
                </a:solidFill>
              </a:rPr>
              <a:t>RISK ASSESSMENT PRODUCTION</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0"/>
          <c:order val="0"/>
          <c:tx>
            <c:strRef>
              <c:f>'[FO-SST-MAT-001 - MATRIZ GTC 45.xlsx]Hoja1'!$C$1</c:f>
              <c:strCache>
                <c:ptCount val="1"/>
                <c:pt idx="0">
                  <c:v>RISK ASSESSMENT</c:v>
                </c:pt>
              </c:strCache>
            </c:strRef>
          </c:tx>
          <c:spPr>
            <a:solidFill>
              <a:schemeClr val="accent1"/>
            </a:solidFill>
            <a:ln>
              <a:noFill/>
            </a:ln>
            <a:effectLst/>
          </c:spPr>
          <c:invertIfNegative val="0"/>
          <c:cat>
            <c:strRef>
              <c:f>'[FO-SST-MAT-001 - MATRIZ GTC 45.xlsx]Hoja1'!$A$2:$B$27</c:f>
              <c:strCache>
                <c:ptCount val="26"/>
                <c:pt idx="0">
                  <c:v>Dynamic load</c:v>
                </c:pt>
                <c:pt idx="1">
                  <c:v>Frequent impact of constant noise</c:v>
                </c:pt>
                <c:pt idx="2">
                  <c:v>Vibrations</c:v>
                </c:pt>
                <c:pt idx="3">
                  <c:v>Solvents</c:v>
                </c:pt>
                <c:pt idx="4">
                  <c:v>Prolonged posture (Standing)</c:v>
                </c:pt>
                <c:pt idx="5">
                  <c:v>Physical and postural effort</c:v>
                </c:pt>
                <c:pt idx="6">
                  <c:v>Repetitive movement</c:v>
                </c:pt>
                <c:pt idx="7">
                  <c:v>Fibers (chips)</c:v>
                </c:pt>
                <c:pt idx="8">
                  <c:v>Cuts</c:v>
                </c:pt>
                <c:pt idx="9">
                  <c:v>Poor light</c:v>
                </c:pt>
                <c:pt idx="10">
                  <c:v>Inhalation and contact with substances</c:v>
                </c:pt>
                <c:pt idx="11">
                  <c:v>Inhalation of metal fumes</c:v>
                </c:pt>
                <c:pt idx="12">
                  <c:v>Inorganic powders</c:v>
                </c:pt>
                <c:pt idx="13">
                  <c:v>Mechanical</c:v>
                </c:pt>
                <c:pt idx="14">
                  <c:v>Metal waste</c:v>
                </c:pt>
                <c:pt idx="15">
                  <c:v>Inadequate feeding zone</c:v>
                </c:pt>
                <c:pt idx="16">
                  <c:v>Inappropriate command style</c:v>
                </c:pt>
                <c:pt idx="17">
                  <c:v>Tense relationships</c:v>
                </c:pt>
                <c:pt idx="18">
                  <c:v>Mental burden</c:v>
                </c:pt>
                <c:pt idx="19">
                  <c:v>High concentration</c:v>
                </c:pt>
                <c:pt idx="20">
                  <c:v>Technological</c:v>
                </c:pt>
                <c:pt idx="21">
                  <c:v>Public</c:v>
                </c:pt>
                <c:pt idx="22">
                  <c:v>State of ceilings</c:v>
                </c:pt>
                <c:pt idx="23">
                  <c:v>Stairs status</c:v>
                </c:pt>
                <c:pt idx="24">
                  <c:v>Disorder and uncleanliness</c:v>
                </c:pt>
                <c:pt idx="25">
                  <c:v>Blocked aisles</c:v>
                </c:pt>
              </c:strCache>
              <c:extLst/>
            </c:strRef>
          </c:cat>
          <c:val>
            <c:numRef>
              <c:f>'[FO-SST-MAT-001 - MATRIZ GTC 45.xlsx]Hoja1'!$C$2:$C$27</c:f>
              <c:numCache>
                <c:formatCode>General</c:formatCode>
                <c:ptCount val="26"/>
                <c:pt idx="0">
                  <c:v>120</c:v>
                </c:pt>
                <c:pt idx="1">
                  <c:v>1440</c:v>
                </c:pt>
                <c:pt idx="2">
                  <c:v>450</c:v>
                </c:pt>
                <c:pt idx="3">
                  <c:v>50</c:v>
                </c:pt>
                <c:pt idx="4">
                  <c:v>2400</c:v>
                </c:pt>
                <c:pt idx="5">
                  <c:v>2400</c:v>
                </c:pt>
                <c:pt idx="6">
                  <c:v>2400</c:v>
                </c:pt>
                <c:pt idx="7">
                  <c:v>150</c:v>
                </c:pt>
                <c:pt idx="8">
                  <c:v>1440</c:v>
                </c:pt>
                <c:pt idx="9">
                  <c:v>180</c:v>
                </c:pt>
                <c:pt idx="10">
                  <c:v>360</c:v>
                </c:pt>
                <c:pt idx="11">
                  <c:v>480</c:v>
                </c:pt>
                <c:pt idx="12">
                  <c:v>3000</c:v>
                </c:pt>
                <c:pt idx="13">
                  <c:v>1440</c:v>
                </c:pt>
                <c:pt idx="14">
                  <c:v>1440</c:v>
                </c:pt>
                <c:pt idx="15">
                  <c:v>100</c:v>
                </c:pt>
                <c:pt idx="16">
                  <c:v>750</c:v>
                </c:pt>
                <c:pt idx="17">
                  <c:v>300</c:v>
                </c:pt>
                <c:pt idx="18">
                  <c:v>300</c:v>
                </c:pt>
                <c:pt idx="19">
                  <c:v>300</c:v>
                </c:pt>
                <c:pt idx="20">
                  <c:v>180</c:v>
                </c:pt>
                <c:pt idx="21">
                  <c:v>300</c:v>
                </c:pt>
                <c:pt idx="22">
                  <c:v>432</c:v>
                </c:pt>
                <c:pt idx="23">
                  <c:v>600</c:v>
                </c:pt>
                <c:pt idx="24">
                  <c:v>300</c:v>
                </c:pt>
                <c:pt idx="25">
                  <c:v>200</c:v>
                </c:pt>
              </c:numCache>
            </c:numRef>
          </c:val>
          <c:extLst>
            <c:ext xmlns:c16="http://schemas.microsoft.com/office/drawing/2014/chart" uri="{C3380CC4-5D6E-409C-BE32-E72D297353CC}">
              <c16:uniqueId val="{00000000-AA08-49F3-A49A-E2EF51F3128C}"/>
            </c:ext>
          </c:extLst>
        </c:ser>
        <c:dLbls>
          <c:showLegendKey val="0"/>
          <c:showVal val="0"/>
          <c:showCatName val="0"/>
          <c:showSerName val="0"/>
          <c:showPercent val="0"/>
          <c:showBubbleSize val="0"/>
        </c:dLbls>
        <c:gapWidth val="182"/>
        <c:axId val="501071088"/>
        <c:axId val="505120912"/>
      </c:barChart>
      <c:catAx>
        <c:axId val="501071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505120912"/>
        <c:crosses val="autoZero"/>
        <c:auto val="1"/>
        <c:lblAlgn val="ctr"/>
        <c:lblOffset val="100"/>
        <c:noMultiLvlLbl val="0"/>
      </c:catAx>
      <c:valAx>
        <c:axId val="505120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501071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900" b="1">
                <a:solidFill>
                  <a:schemeClr val="tx1"/>
                </a:solidFill>
              </a:rPr>
              <a:t>RISK ASSESSMENT ADMINISTRATION</a:t>
            </a:r>
            <a:endParaRPr lang="es-CO" sz="900" b="1">
              <a:solidFill>
                <a:schemeClr val="tx1"/>
              </a:solidFill>
            </a:endParaRP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cat>
            <c:strRef>
              <c:f>'[FO-SST-MAT-001 - MATRIZ GTC 45.xlsx]Hoja1'!$A$28:$B$41</c:f>
              <c:strCache>
                <c:ptCount val="14"/>
                <c:pt idx="0">
                  <c:v>Poor light</c:v>
                </c:pt>
                <c:pt idx="1">
                  <c:v>Frequent impact of constant noise</c:v>
                </c:pt>
                <c:pt idx="2">
                  <c:v>Inorganic powders</c:v>
                </c:pt>
                <c:pt idx="3">
                  <c:v>Disorder and uncleanliness</c:v>
                </c:pt>
                <c:pt idx="4">
                  <c:v>Prolonged posture</c:v>
                </c:pt>
                <c:pt idx="5">
                  <c:v>Repetitive movement</c:v>
                </c:pt>
                <c:pt idx="6">
                  <c:v>Mental burden</c:v>
                </c:pt>
                <c:pt idx="7">
                  <c:v>High decision and responsibility</c:v>
                </c:pt>
                <c:pt idx="8">
                  <c:v>Technological</c:v>
                </c:pt>
                <c:pt idx="9">
                  <c:v>Public</c:v>
                </c:pt>
                <c:pt idx="10">
                  <c:v>State of ceilings</c:v>
                </c:pt>
                <c:pt idx="11">
                  <c:v>Stairs status</c:v>
                </c:pt>
                <c:pt idx="12">
                  <c:v>Disorder and uncleanliness</c:v>
                </c:pt>
                <c:pt idx="13">
                  <c:v>Blocked aisles</c:v>
                </c:pt>
              </c:strCache>
              <c:extLst/>
            </c:strRef>
          </c:cat>
          <c:val>
            <c:numRef>
              <c:f>'[FO-SST-MAT-001 - MATRIZ GTC 45.xlsx]Hoja1'!$C$28:$C$41</c:f>
              <c:numCache>
                <c:formatCode>General</c:formatCode>
                <c:ptCount val="14"/>
                <c:pt idx="0">
                  <c:v>180</c:v>
                </c:pt>
                <c:pt idx="1">
                  <c:v>1440</c:v>
                </c:pt>
                <c:pt idx="2">
                  <c:v>3000</c:v>
                </c:pt>
                <c:pt idx="3">
                  <c:v>60</c:v>
                </c:pt>
                <c:pt idx="4">
                  <c:v>200</c:v>
                </c:pt>
                <c:pt idx="5">
                  <c:v>2400</c:v>
                </c:pt>
                <c:pt idx="6">
                  <c:v>300</c:v>
                </c:pt>
                <c:pt idx="7">
                  <c:v>300</c:v>
                </c:pt>
                <c:pt idx="8">
                  <c:v>180</c:v>
                </c:pt>
                <c:pt idx="9">
                  <c:v>300</c:v>
                </c:pt>
                <c:pt idx="10">
                  <c:v>432</c:v>
                </c:pt>
                <c:pt idx="11">
                  <c:v>600</c:v>
                </c:pt>
                <c:pt idx="12">
                  <c:v>300</c:v>
                </c:pt>
                <c:pt idx="13">
                  <c:v>200</c:v>
                </c:pt>
              </c:numCache>
            </c:numRef>
          </c:val>
          <c:extLst>
            <c:ext xmlns:c16="http://schemas.microsoft.com/office/drawing/2014/chart" uri="{C3380CC4-5D6E-409C-BE32-E72D297353CC}">
              <c16:uniqueId val="{00000000-8D19-4908-9B87-2D87E3970FF5}"/>
            </c:ext>
          </c:extLst>
        </c:ser>
        <c:dLbls>
          <c:showLegendKey val="0"/>
          <c:showVal val="0"/>
          <c:showCatName val="0"/>
          <c:showSerName val="0"/>
          <c:showPercent val="0"/>
          <c:showBubbleSize val="0"/>
        </c:dLbls>
        <c:gapWidth val="182"/>
        <c:axId val="501360720"/>
        <c:axId val="342334000"/>
      </c:barChart>
      <c:catAx>
        <c:axId val="501360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342334000"/>
        <c:crosses val="autoZero"/>
        <c:auto val="1"/>
        <c:lblAlgn val="ctr"/>
        <c:lblOffset val="100"/>
        <c:noMultiLvlLbl val="0"/>
      </c:catAx>
      <c:valAx>
        <c:axId val="342334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501360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D779-955F-4D34-9CB9-0F5B19A8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3592</Words>
  <Characters>19757</Characters>
  <Application>Microsoft Office Word</Application>
  <DocSecurity>0</DocSecurity>
  <Lines>164</Lines>
  <Paragraphs>46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Jeniffer Paola Gracia Rojas</cp:lastModifiedBy>
  <cp:revision>2</cp:revision>
  <cp:lastPrinted>2015-05-12T18:31:00Z</cp:lastPrinted>
  <dcterms:created xsi:type="dcterms:W3CDTF">2022-03-24T01:06:00Z</dcterms:created>
  <dcterms:modified xsi:type="dcterms:W3CDTF">2022-03-24T01:06:00Z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